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DA" w:rsidRPr="00443B40" w:rsidRDefault="006E41DA" w:rsidP="00937E87">
      <w:pPr>
        <w:autoSpaceDE w:val="0"/>
        <w:autoSpaceDN w:val="0"/>
        <w:adjustRightInd w:val="0"/>
        <w:spacing w:line="260" w:lineRule="exact"/>
        <w:ind w:left="709" w:hanging="709"/>
        <w:jc w:val="center"/>
        <w:rPr>
          <w:rFonts w:ascii="Verdana" w:hAnsi="Verdana" w:cs="Arial"/>
          <w:b/>
          <w:bCs/>
          <w:sz w:val="22"/>
          <w:szCs w:val="22"/>
        </w:rPr>
      </w:pPr>
      <w:bookmarkStart w:id="0" w:name="_GoBack"/>
      <w:bookmarkEnd w:id="0"/>
      <w:r w:rsidRPr="00443B40">
        <w:rPr>
          <w:rFonts w:ascii="Verdana" w:hAnsi="Verdana" w:cs="Arial"/>
          <w:b/>
          <w:bCs/>
          <w:sz w:val="22"/>
          <w:szCs w:val="22"/>
        </w:rPr>
        <w:t>Erfassung Ihrer Person in d</w:t>
      </w:r>
      <w:r w:rsidR="00931481" w:rsidRPr="00443B40">
        <w:rPr>
          <w:rFonts w:ascii="Verdana" w:hAnsi="Verdana" w:cs="Arial"/>
          <w:b/>
          <w:bCs/>
          <w:sz w:val="22"/>
          <w:szCs w:val="22"/>
        </w:rPr>
        <w:t>er</w:t>
      </w:r>
      <w:r w:rsidRPr="00443B40">
        <w:rPr>
          <w:rFonts w:ascii="Verdana" w:hAnsi="Verdana" w:cs="Arial"/>
          <w:b/>
          <w:bCs/>
          <w:sz w:val="22"/>
          <w:szCs w:val="22"/>
        </w:rPr>
        <w:t xml:space="preserve"> Insider</w:t>
      </w:r>
      <w:r w:rsidR="004F6CAE" w:rsidRPr="00443B40">
        <w:rPr>
          <w:rFonts w:ascii="Verdana" w:hAnsi="Verdana" w:cs="Arial"/>
          <w:b/>
          <w:bCs/>
          <w:sz w:val="22"/>
          <w:szCs w:val="22"/>
        </w:rPr>
        <w:t>liste</w:t>
      </w:r>
      <w:r w:rsidR="00937E87" w:rsidRPr="00443B40">
        <w:rPr>
          <w:rFonts w:ascii="Verdana" w:hAnsi="Verdana" w:cs="Arial"/>
          <w:b/>
          <w:bCs/>
          <w:sz w:val="22"/>
          <w:szCs w:val="22"/>
        </w:rPr>
        <w:t xml:space="preserve"> -</w:t>
      </w:r>
    </w:p>
    <w:p w:rsidR="006E41DA" w:rsidRPr="00443B40" w:rsidRDefault="006E41DA" w:rsidP="00937E87">
      <w:pPr>
        <w:autoSpaceDE w:val="0"/>
        <w:autoSpaceDN w:val="0"/>
        <w:adjustRightInd w:val="0"/>
        <w:spacing w:line="260" w:lineRule="exact"/>
        <w:rPr>
          <w:rFonts w:ascii="Verdana" w:hAnsi="Verdana" w:cs="Arial"/>
          <w:b/>
          <w:bCs/>
          <w:sz w:val="22"/>
          <w:szCs w:val="22"/>
        </w:rPr>
      </w:pPr>
      <w:r w:rsidRPr="00443B40">
        <w:rPr>
          <w:rFonts w:ascii="Verdana" w:hAnsi="Verdana" w:cs="Arial"/>
          <w:b/>
          <w:bCs/>
          <w:sz w:val="22"/>
          <w:szCs w:val="22"/>
        </w:rPr>
        <w:t xml:space="preserve">Aufklärung nach </w:t>
      </w:r>
      <w:r w:rsidR="0082598D" w:rsidRPr="00443B40">
        <w:rPr>
          <w:rFonts w:ascii="Verdana" w:hAnsi="Verdana" w:cs="Arial"/>
          <w:b/>
          <w:bCs/>
          <w:sz w:val="22"/>
          <w:szCs w:val="22"/>
        </w:rPr>
        <w:t>Artikel 18 Abs. 2 der Verordnung (EU) Nr. 596/2014 des Europäischen Parlaments und des Rates über Marktmissbrauch (Marktmissbrauchsverordnung</w:t>
      </w:r>
      <w:r w:rsidR="005838DF" w:rsidRPr="00443B40">
        <w:rPr>
          <w:rFonts w:ascii="Verdana" w:hAnsi="Verdana" w:cs="Arial"/>
          <w:b/>
          <w:bCs/>
          <w:sz w:val="22"/>
          <w:szCs w:val="22"/>
        </w:rPr>
        <w:t>, MAR</w:t>
      </w:r>
      <w:r w:rsidR="0082598D" w:rsidRPr="00443B40">
        <w:rPr>
          <w:rFonts w:ascii="Verdana" w:hAnsi="Verdana" w:cs="Arial"/>
          <w:b/>
          <w:bCs/>
          <w:sz w:val="22"/>
          <w:szCs w:val="22"/>
        </w:rPr>
        <w:t>)</w:t>
      </w:r>
    </w:p>
    <w:p w:rsidR="006E41DA" w:rsidRPr="00443B40" w:rsidRDefault="00F05428" w:rsidP="007F4D6F">
      <w:pPr>
        <w:autoSpaceDE w:val="0"/>
        <w:autoSpaceDN w:val="0"/>
        <w:adjustRightInd w:val="0"/>
        <w:spacing w:before="240" w:line="260" w:lineRule="exact"/>
        <w:rPr>
          <w:rFonts w:ascii="Verdana" w:hAnsi="Verdana" w:cs="Arial"/>
          <w:sz w:val="22"/>
          <w:szCs w:val="22"/>
        </w:rPr>
      </w:pPr>
      <w:r w:rsidRPr="00443B40">
        <w:rPr>
          <w:rFonts w:ascii="Verdana" w:hAnsi="Verdana" w:cs="Arial"/>
          <w:sz w:val="22"/>
          <w:szCs w:val="22"/>
        </w:rPr>
        <w:t>Sehr geehrte Frau,</w:t>
      </w:r>
      <w:r w:rsidRPr="00443B40">
        <w:rPr>
          <w:rFonts w:ascii="Verdana" w:hAnsi="Verdana" w:cs="Arial"/>
          <w:sz w:val="22"/>
          <w:szCs w:val="22"/>
        </w:rPr>
        <w:br/>
        <w:t>Sehr geehrter Herr,</w:t>
      </w:r>
    </w:p>
    <w:p w:rsidR="007628F4" w:rsidRPr="00443B40" w:rsidRDefault="006E41DA"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 xml:space="preserve">gem. </w:t>
      </w:r>
      <w:r w:rsidR="0082598D" w:rsidRPr="00443B40">
        <w:rPr>
          <w:rFonts w:ascii="Verdana" w:hAnsi="Verdana" w:cs="Arial"/>
          <w:sz w:val="22"/>
          <w:szCs w:val="22"/>
        </w:rPr>
        <w:t>Artikel 18 Abs. 1 Marktmissbrauchsverordnung</w:t>
      </w:r>
      <w:r w:rsidRPr="00443B40">
        <w:rPr>
          <w:rFonts w:ascii="Verdana" w:hAnsi="Verdana" w:cs="Arial"/>
          <w:sz w:val="22"/>
          <w:szCs w:val="22"/>
        </w:rPr>
        <w:t xml:space="preserve"> </w:t>
      </w:r>
      <w:r w:rsidR="0082598D" w:rsidRPr="00443B40">
        <w:rPr>
          <w:rFonts w:ascii="Verdana" w:hAnsi="Verdana" w:cs="Arial"/>
          <w:sz w:val="22"/>
          <w:szCs w:val="22"/>
        </w:rPr>
        <w:t xml:space="preserve">(MAR) </w:t>
      </w:r>
      <w:r w:rsidR="007628F4" w:rsidRPr="00443B40">
        <w:rPr>
          <w:rFonts w:ascii="Verdana" w:hAnsi="Verdana" w:cs="Arial"/>
          <w:sz w:val="22"/>
          <w:szCs w:val="22"/>
        </w:rPr>
        <w:t>ist</w:t>
      </w:r>
      <w:r w:rsidRPr="00443B40">
        <w:rPr>
          <w:rFonts w:ascii="Verdana" w:hAnsi="Verdana" w:cs="Arial"/>
          <w:sz w:val="22"/>
          <w:szCs w:val="22"/>
        </w:rPr>
        <w:t xml:space="preserve"> [</w:t>
      </w:r>
      <w:r w:rsidR="007628F4" w:rsidRPr="00443B40">
        <w:rPr>
          <w:rFonts w:ascii="Verdana" w:hAnsi="Verdana" w:cs="Arial"/>
          <w:sz w:val="22"/>
          <w:szCs w:val="22"/>
          <w:lang w:val="en-GB"/>
        </w:rPr>
        <w:fldChar w:fldCharType="begin">
          <w:ffData>
            <w:name w:val=""/>
            <w:enabled/>
            <w:calcOnExit w:val="0"/>
            <w:textInput>
              <w:default w:val="Name des Verpflichteten"/>
            </w:textInput>
          </w:ffData>
        </w:fldChar>
      </w:r>
      <w:r w:rsidR="007628F4" w:rsidRPr="00443B40">
        <w:rPr>
          <w:rFonts w:ascii="Verdana" w:hAnsi="Verdana" w:cs="Arial"/>
          <w:sz w:val="22"/>
          <w:szCs w:val="22"/>
        </w:rPr>
        <w:instrText xml:space="preserve"> FORMTEXT </w:instrText>
      </w:r>
      <w:r w:rsidR="007628F4" w:rsidRPr="00443B40">
        <w:rPr>
          <w:rFonts w:ascii="Verdana" w:hAnsi="Verdana" w:cs="Arial"/>
          <w:sz w:val="22"/>
          <w:szCs w:val="22"/>
          <w:lang w:val="en-GB"/>
        </w:rPr>
      </w:r>
      <w:r w:rsidR="007628F4" w:rsidRPr="00443B40">
        <w:rPr>
          <w:rFonts w:ascii="Verdana" w:hAnsi="Verdana" w:cs="Arial"/>
          <w:sz w:val="22"/>
          <w:szCs w:val="22"/>
          <w:lang w:val="en-GB"/>
        </w:rPr>
        <w:fldChar w:fldCharType="separate"/>
      </w:r>
      <w:r w:rsidR="007628F4" w:rsidRPr="00443B40">
        <w:rPr>
          <w:rFonts w:ascii="Verdana" w:hAnsi="Verdana" w:cs="Arial"/>
          <w:noProof/>
          <w:sz w:val="22"/>
          <w:szCs w:val="22"/>
        </w:rPr>
        <w:t>Name des Verpflichteten</w:t>
      </w:r>
      <w:r w:rsidR="007628F4" w:rsidRPr="00443B40">
        <w:rPr>
          <w:rFonts w:ascii="Verdana" w:hAnsi="Verdana" w:cs="Arial"/>
          <w:sz w:val="22"/>
          <w:szCs w:val="22"/>
          <w:lang w:val="en-GB"/>
        </w:rPr>
        <w:fldChar w:fldCharType="end"/>
      </w:r>
      <w:r w:rsidRPr="00443B40">
        <w:rPr>
          <w:rFonts w:ascii="Verdana" w:hAnsi="Verdana" w:cs="Arial"/>
          <w:sz w:val="22"/>
          <w:szCs w:val="22"/>
        </w:rPr>
        <w:t xml:space="preserve">] dazu verpflichtet, </w:t>
      </w:r>
      <w:r w:rsidR="0082598D" w:rsidRPr="00443B40">
        <w:rPr>
          <w:rFonts w:ascii="Verdana" w:hAnsi="Verdana" w:cs="Arial"/>
          <w:sz w:val="22"/>
          <w:szCs w:val="22"/>
        </w:rPr>
        <w:t>eine Liste aller Personen aufzustellen, die Zugang zu Insiderinformationen haben, wenn diese Personen für sie auf Grundlage eines Arbeitsvertrages oder anderweitig Aufgaben wahrnehmen, durch die diese Zugang zu Insiderinformationen haben</w:t>
      </w:r>
      <w:r w:rsidRPr="00443B40">
        <w:rPr>
          <w:rFonts w:ascii="Verdana" w:hAnsi="Verdana" w:cs="Arial"/>
          <w:sz w:val="22"/>
          <w:szCs w:val="22"/>
        </w:rPr>
        <w:t xml:space="preserve">. </w:t>
      </w:r>
    </w:p>
    <w:p w:rsidR="006E41DA" w:rsidRPr="00443B40" w:rsidRDefault="006E41DA"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 xml:space="preserve">Diese </w:t>
      </w:r>
      <w:r w:rsidR="005332A9" w:rsidRPr="00443B40">
        <w:rPr>
          <w:rFonts w:ascii="Verdana" w:hAnsi="Verdana" w:cs="Arial"/>
          <w:sz w:val="22"/>
          <w:szCs w:val="22"/>
        </w:rPr>
        <w:t>Insiderl</w:t>
      </w:r>
      <w:r w:rsidR="0082598D" w:rsidRPr="00443B40">
        <w:rPr>
          <w:rFonts w:ascii="Verdana" w:hAnsi="Verdana" w:cs="Arial"/>
          <w:sz w:val="22"/>
          <w:szCs w:val="22"/>
        </w:rPr>
        <w:t xml:space="preserve">iste ist </w:t>
      </w:r>
      <w:r w:rsidR="005332A9" w:rsidRPr="00443B40">
        <w:rPr>
          <w:rFonts w:ascii="Verdana" w:hAnsi="Verdana" w:cs="Arial"/>
          <w:sz w:val="22"/>
          <w:szCs w:val="22"/>
        </w:rPr>
        <w:t xml:space="preserve">der zuständigen Behörde (in Deutschland die </w:t>
      </w:r>
      <w:r w:rsidRPr="00443B40">
        <w:rPr>
          <w:rFonts w:ascii="Verdana" w:hAnsi="Verdana" w:cs="Arial"/>
          <w:sz w:val="22"/>
          <w:szCs w:val="22"/>
        </w:rPr>
        <w:t>Bundesanstalt für</w:t>
      </w:r>
      <w:r w:rsidR="00EF3D70" w:rsidRPr="00443B40">
        <w:rPr>
          <w:rFonts w:ascii="Verdana" w:hAnsi="Verdana" w:cs="Arial"/>
          <w:sz w:val="22"/>
          <w:szCs w:val="22"/>
        </w:rPr>
        <w:t xml:space="preserve"> Finanzdienstleistungsaufsicht - </w:t>
      </w:r>
      <w:r w:rsidRPr="00443B40">
        <w:rPr>
          <w:rFonts w:ascii="Verdana" w:hAnsi="Verdana" w:cs="Arial"/>
          <w:sz w:val="22"/>
          <w:szCs w:val="22"/>
        </w:rPr>
        <w:t>BaFin</w:t>
      </w:r>
      <w:r w:rsidR="005332A9" w:rsidRPr="00443B40">
        <w:rPr>
          <w:rFonts w:ascii="Verdana" w:hAnsi="Verdana" w:cs="Arial"/>
          <w:sz w:val="22"/>
          <w:szCs w:val="22"/>
        </w:rPr>
        <w:t>) auf deren Ersuchen möglichst rasch</w:t>
      </w:r>
      <w:r w:rsidRPr="00443B40">
        <w:rPr>
          <w:rFonts w:ascii="Verdana" w:hAnsi="Verdana" w:cs="Arial"/>
          <w:sz w:val="22"/>
          <w:szCs w:val="22"/>
        </w:rPr>
        <w:t xml:space="preserve"> </w:t>
      </w:r>
      <w:r w:rsidR="0082598D" w:rsidRPr="00443B40">
        <w:rPr>
          <w:rFonts w:ascii="Verdana" w:hAnsi="Verdana" w:cs="Arial"/>
          <w:sz w:val="22"/>
          <w:szCs w:val="22"/>
        </w:rPr>
        <w:t>zur Verfügung zu stellen</w:t>
      </w:r>
      <w:r w:rsidRPr="00443B40">
        <w:rPr>
          <w:rFonts w:ascii="Verdana" w:hAnsi="Verdana" w:cs="Arial"/>
          <w:sz w:val="22"/>
          <w:szCs w:val="22"/>
        </w:rPr>
        <w:t>.</w:t>
      </w:r>
    </w:p>
    <w:p w:rsidR="008E1A04" w:rsidRPr="00443B40" w:rsidRDefault="006E41DA"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 xml:space="preserve">Wir möchten Sie darauf hinweisen, dass wir Sie in </w:t>
      </w:r>
      <w:r w:rsidR="00501DFF" w:rsidRPr="00443B40">
        <w:rPr>
          <w:rFonts w:ascii="Verdana" w:hAnsi="Verdana" w:cs="Arial"/>
          <w:sz w:val="22"/>
          <w:szCs w:val="22"/>
        </w:rPr>
        <w:t>diese</w:t>
      </w:r>
      <w:r w:rsidRPr="00443B40">
        <w:rPr>
          <w:rFonts w:ascii="Verdana" w:hAnsi="Verdana" w:cs="Arial"/>
          <w:sz w:val="22"/>
          <w:szCs w:val="22"/>
        </w:rPr>
        <w:t xml:space="preserve"> </w:t>
      </w:r>
      <w:r w:rsidR="00AF452C" w:rsidRPr="00443B40">
        <w:rPr>
          <w:rFonts w:ascii="Verdana" w:hAnsi="Verdana" w:cs="Arial"/>
          <w:sz w:val="22"/>
          <w:szCs w:val="22"/>
        </w:rPr>
        <w:t>Insiderl</w:t>
      </w:r>
      <w:r w:rsidR="004F6CAE" w:rsidRPr="00443B40">
        <w:rPr>
          <w:rFonts w:ascii="Verdana" w:hAnsi="Verdana" w:cs="Arial"/>
          <w:sz w:val="22"/>
          <w:szCs w:val="22"/>
        </w:rPr>
        <w:t xml:space="preserve">iste </w:t>
      </w:r>
      <w:r w:rsidR="008E1A04" w:rsidRPr="00443B40">
        <w:rPr>
          <w:rFonts w:ascii="Verdana" w:hAnsi="Verdana" w:cs="Arial"/>
          <w:sz w:val="22"/>
          <w:szCs w:val="22"/>
        </w:rPr>
        <w:t>aufgenommen haben.</w:t>
      </w:r>
    </w:p>
    <w:p w:rsidR="006E41DA" w:rsidRPr="00443B40" w:rsidRDefault="006E41DA"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 xml:space="preserve">Aus diesem Grund obliegt uns Ihnen gegenüber eine besondere Aufklärungspflicht über die rechtlichen Pflichten, die sich aus dem Zugang zu Insiderinformationen ergeben sowie über die </w:t>
      </w:r>
      <w:r w:rsidR="005838DF" w:rsidRPr="00443B40">
        <w:rPr>
          <w:rFonts w:ascii="Verdana" w:hAnsi="Verdana" w:cs="Arial"/>
          <w:sz w:val="22"/>
          <w:szCs w:val="22"/>
        </w:rPr>
        <w:t xml:space="preserve">Rechtsfolgen bei Verstößen, </w:t>
      </w:r>
      <w:r w:rsidRPr="00443B40">
        <w:rPr>
          <w:rFonts w:ascii="Verdana" w:hAnsi="Verdana" w:cs="Arial"/>
          <w:sz w:val="22"/>
          <w:szCs w:val="22"/>
        </w:rPr>
        <w:t xml:space="preserve">der wir mit </w:t>
      </w:r>
      <w:r w:rsidR="008E1A04" w:rsidRPr="00443B40">
        <w:rPr>
          <w:rFonts w:ascii="Verdana" w:hAnsi="Verdana" w:cs="Arial"/>
          <w:sz w:val="22"/>
          <w:szCs w:val="22"/>
        </w:rPr>
        <w:t>diesem Merkblatt</w:t>
      </w:r>
      <w:r w:rsidRPr="00443B40">
        <w:rPr>
          <w:rFonts w:ascii="Verdana" w:hAnsi="Verdana" w:cs="Arial"/>
          <w:sz w:val="22"/>
          <w:szCs w:val="22"/>
        </w:rPr>
        <w:t xml:space="preserve"> nachkommen.</w:t>
      </w:r>
    </w:p>
    <w:p w:rsidR="006E41DA" w:rsidRPr="00443B40" w:rsidRDefault="006E41DA"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 xml:space="preserve">Wir bitten Sie, sich die nachfolgenden Normen </w:t>
      </w:r>
      <w:r w:rsidR="005F4E2B" w:rsidRPr="00443B40">
        <w:rPr>
          <w:rFonts w:ascii="Verdana" w:hAnsi="Verdana" w:cs="Arial"/>
          <w:sz w:val="22"/>
          <w:szCs w:val="22"/>
        </w:rPr>
        <w:t xml:space="preserve">der Marktmissbrauchsverordnung und </w:t>
      </w:r>
      <w:r w:rsidRPr="00443B40">
        <w:rPr>
          <w:rFonts w:ascii="Verdana" w:hAnsi="Verdana" w:cs="Arial"/>
          <w:sz w:val="22"/>
          <w:szCs w:val="22"/>
        </w:rPr>
        <w:t xml:space="preserve">des </w:t>
      </w:r>
      <w:r w:rsidR="005838DF" w:rsidRPr="00443B40">
        <w:rPr>
          <w:rFonts w:ascii="Verdana" w:hAnsi="Verdana" w:cs="Arial"/>
          <w:sz w:val="22"/>
          <w:szCs w:val="22"/>
        </w:rPr>
        <w:t>Wertpapierhandelsgesetzes (</w:t>
      </w:r>
      <w:r w:rsidRPr="00443B40">
        <w:rPr>
          <w:rFonts w:ascii="Verdana" w:hAnsi="Verdana" w:cs="Arial"/>
          <w:sz w:val="22"/>
          <w:szCs w:val="22"/>
        </w:rPr>
        <w:t>WpHG</w:t>
      </w:r>
      <w:r w:rsidR="005838DF" w:rsidRPr="00443B40">
        <w:rPr>
          <w:rFonts w:ascii="Verdana" w:hAnsi="Verdana" w:cs="Arial"/>
          <w:sz w:val="22"/>
          <w:szCs w:val="22"/>
        </w:rPr>
        <w:t>)</w:t>
      </w:r>
      <w:r w:rsidRPr="00443B40">
        <w:rPr>
          <w:rFonts w:ascii="Verdana" w:hAnsi="Verdana" w:cs="Arial"/>
          <w:sz w:val="22"/>
          <w:szCs w:val="22"/>
        </w:rPr>
        <w:t xml:space="preserve"> sorgfältig durchzulesen und </w:t>
      </w:r>
      <w:r w:rsidR="00443B40" w:rsidRPr="00443B40">
        <w:rPr>
          <w:rFonts w:ascii="Verdana" w:hAnsi="Verdana" w:cs="Arial"/>
          <w:sz w:val="22"/>
          <w:szCs w:val="22"/>
        </w:rPr>
        <w:t>die Kenntnisnahme</w:t>
      </w:r>
      <w:r w:rsidR="00300C7A" w:rsidRPr="00443B40">
        <w:rPr>
          <w:rFonts w:ascii="Verdana" w:hAnsi="Verdana" w:cs="Arial"/>
          <w:sz w:val="22"/>
          <w:szCs w:val="22"/>
        </w:rPr>
        <w:t xml:space="preserve"> auf dem beigefügten zweiten Exemplar dieses Schreibens zu </w:t>
      </w:r>
      <w:r w:rsidR="00443B40" w:rsidRPr="00443B40">
        <w:rPr>
          <w:rFonts w:ascii="Verdana" w:hAnsi="Verdana" w:cs="Arial"/>
          <w:sz w:val="22"/>
          <w:szCs w:val="22"/>
        </w:rPr>
        <w:t>bestätigen.</w:t>
      </w:r>
    </w:p>
    <w:p w:rsidR="006E41DA" w:rsidRPr="00443B40" w:rsidRDefault="006E41DA"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 xml:space="preserve">Wir machen Sie darauf aufmerksam, dass durch das Verbot von Insidergeschäften </w:t>
      </w:r>
      <w:r w:rsidR="00207632" w:rsidRPr="00443B40">
        <w:rPr>
          <w:rFonts w:ascii="Verdana" w:hAnsi="Verdana" w:cs="Arial"/>
          <w:sz w:val="22"/>
          <w:szCs w:val="22"/>
        </w:rPr>
        <w:t xml:space="preserve">und Verbot der unrechtmäßigen Offenlegung von Insiderinformationen </w:t>
      </w:r>
      <w:r w:rsidRPr="00443B40">
        <w:rPr>
          <w:rFonts w:ascii="Verdana" w:hAnsi="Verdana" w:cs="Arial"/>
          <w:sz w:val="22"/>
          <w:szCs w:val="22"/>
        </w:rPr>
        <w:t>die Funktionsfähigkeit des Kapitalmarkts geschützt wird und ein Verstoß gegen dieses Verbot als</w:t>
      </w:r>
      <w:r w:rsidR="00920D5C" w:rsidRPr="00443B40">
        <w:rPr>
          <w:rFonts w:ascii="Verdana" w:hAnsi="Verdana" w:cs="Arial"/>
          <w:sz w:val="22"/>
          <w:szCs w:val="22"/>
        </w:rPr>
        <w:t xml:space="preserve"> </w:t>
      </w:r>
      <w:r w:rsidRPr="00443B40">
        <w:rPr>
          <w:rFonts w:ascii="Verdana" w:hAnsi="Verdana" w:cs="Arial"/>
          <w:sz w:val="22"/>
          <w:szCs w:val="22"/>
        </w:rPr>
        <w:t>Straftat verfolgt werden kann.</w:t>
      </w:r>
    </w:p>
    <w:p w:rsidR="00512A36" w:rsidRPr="00443B40" w:rsidRDefault="006E41DA"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Sollten Sie Fragen haben, wenden Sie sich bitte an</w:t>
      </w:r>
      <w:r w:rsidR="00443B40" w:rsidRPr="00443B40">
        <w:rPr>
          <w:rFonts w:ascii="Verdana" w:hAnsi="Verdana" w:cs="Arial"/>
          <w:sz w:val="22"/>
          <w:szCs w:val="22"/>
        </w:rPr>
        <w:t xml:space="preserve"> unsere Compliance-Stelle / Rechtsabteilung / etc..</w:t>
      </w:r>
    </w:p>
    <w:p w:rsidR="006E41DA" w:rsidRPr="00443B40" w:rsidRDefault="006E41DA" w:rsidP="007F4D6F">
      <w:pPr>
        <w:autoSpaceDE w:val="0"/>
        <w:autoSpaceDN w:val="0"/>
        <w:adjustRightInd w:val="0"/>
        <w:spacing w:before="240" w:line="260" w:lineRule="exact"/>
        <w:jc w:val="both"/>
        <w:rPr>
          <w:rFonts w:ascii="Verdana" w:hAnsi="Verdana" w:cs="Arial"/>
          <w:sz w:val="22"/>
          <w:szCs w:val="22"/>
        </w:rPr>
      </w:pPr>
    </w:p>
    <w:p w:rsidR="006E41DA" w:rsidRDefault="006E41DA" w:rsidP="00006E49">
      <w:pPr>
        <w:autoSpaceDE w:val="0"/>
        <w:autoSpaceDN w:val="0"/>
        <w:adjustRightInd w:val="0"/>
        <w:spacing w:before="240" w:line="260" w:lineRule="exact"/>
        <w:jc w:val="both"/>
        <w:rPr>
          <w:rFonts w:ascii="Verdana" w:hAnsi="Verdana"/>
          <w:b/>
          <w:bCs/>
          <w:sz w:val="22"/>
          <w:szCs w:val="22"/>
        </w:rPr>
      </w:pPr>
    </w:p>
    <w:p w:rsidR="00006E49" w:rsidRDefault="00006E49" w:rsidP="00006E49">
      <w:pPr>
        <w:autoSpaceDE w:val="0"/>
        <w:autoSpaceDN w:val="0"/>
        <w:adjustRightInd w:val="0"/>
        <w:spacing w:before="240" w:line="260" w:lineRule="exact"/>
        <w:jc w:val="both"/>
        <w:rPr>
          <w:rFonts w:ascii="Verdana" w:hAnsi="Verdana"/>
          <w:b/>
          <w:bCs/>
          <w:sz w:val="22"/>
          <w:szCs w:val="22"/>
        </w:rPr>
      </w:pPr>
    </w:p>
    <w:p w:rsidR="00006E49" w:rsidRDefault="00006E49" w:rsidP="00006E49">
      <w:pPr>
        <w:autoSpaceDE w:val="0"/>
        <w:autoSpaceDN w:val="0"/>
        <w:adjustRightInd w:val="0"/>
        <w:spacing w:before="240" w:line="260" w:lineRule="exact"/>
        <w:jc w:val="both"/>
        <w:rPr>
          <w:rFonts w:ascii="Verdana" w:hAnsi="Verdana"/>
          <w:b/>
          <w:bCs/>
          <w:sz w:val="22"/>
          <w:szCs w:val="22"/>
        </w:rPr>
      </w:pPr>
    </w:p>
    <w:p w:rsidR="00006E49" w:rsidRDefault="00006E49" w:rsidP="00006E49">
      <w:pPr>
        <w:autoSpaceDE w:val="0"/>
        <w:autoSpaceDN w:val="0"/>
        <w:adjustRightInd w:val="0"/>
        <w:spacing w:before="240" w:line="260" w:lineRule="exact"/>
        <w:jc w:val="both"/>
        <w:rPr>
          <w:rFonts w:ascii="Verdana" w:hAnsi="Verdana"/>
          <w:b/>
          <w:bCs/>
          <w:sz w:val="22"/>
          <w:szCs w:val="22"/>
        </w:rPr>
      </w:pPr>
    </w:p>
    <w:p w:rsidR="00006E49" w:rsidRPr="00443B40" w:rsidRDefault="00006E49" w:rsidP="00006E49">
      <w:pPr>
        <w:autoSpaceDE w:val="0"/>
        <w:autoSpaceDN w:val="0"/>
        <w:adjustRightInd w:val="0"/>
        <w:spacing w:before="240" w:line="260" w:lineRule="exact"/>
        <w:jc w:val="both"/>
        <w:rPr>
          <w:rFonts w:ascii="Verdana" w:hAnsi="Verdana"/>
          <w:b/>
          <w:bCs/>
          <w:sz w:val="22"/>
          <w:szCs w:val="22"/>
        </w:rPr>
      </w:pPr>
    </w:p>
    <w:p w:rsidR="00E80F16" w:rsidRPr="00443B40" w:rsidRDefault="00E80F16" w:rsidP="007F4D6F">
      <w:pPr>
        <w:autoSpaceDE w:val="0"/>
        <w:autoSpaceDN w:val="0"/>
        <w:adjustRightInd w:val="0"/>
        <w:spacing w:before="240" w:line="260" w:lineRule="exact"/>
        <w:jc w:val="center"/>
        <w:rPr>
          <w:rFonts w:ascii="Verdana" w:hAnsi="Verdana" w:cs="Arial"/>
          <w:b/>
          <w:bCs/>
          <w:sz w:val="22"/>
          <w:szCs w:val="22"/>
        </w:rPr>
      </w:pPr>
      <w:r w:rsidRPr="00443B40">
        <w:rPr>
          <w:rFonts w:ascii="Verdana" w:hAnsi="Verdana" w:cs="Arial"/>
          <w:b/>
          <w:bCs/>
          <w:sz w:val="22"/>
          <w:szCs w:val="22"/>
        </w:rPr>
        <w:lastRenderedPageBreak/>
        <w:t>Marktmissbrauchsverordnung</w:t>
      </w:r>
      <w:r w:rsidR="00A71C30" w:rsidRPr="00443B40">
        <w:rPr>
          <w:rFonts w:ascii="Verdana" w:hAnsi="Verdana" w:cs="Arial"/>
          <w:b/>
          <w:bCs/>
          <w:sz w:val="22"/>
          <w:szCs w:val="22"/>
        </w:rPr>
        <w:t xml:space="preserve"> (EU) Nr. 596/2014 </w:t>
      </w:r>
    </w:p>
    <w:p w:rsidR="00BE4A31" w:rsidRPr="00443B40" w:rsidRDefault="00BE4A31" w:rsidP="007F4D6F">
      <w:pPr>
        <w:autoSpaceDE w:val="0"/>
        <w:autoSpaceDN w:val="0"/>
        <w:adjustRightInd w:val="0"/>
        <w:spacing w:before="240" w:line="260" w:lineRule="exact"/>
        <w:jc w:val="center"/>
        <w:rPr>
          <w:rFonts w:ascii="Verdana" w:hAnsi="Verdana" w:cs="Arial"/>
          <w:b/>
          <w:bCs/>
          <w:sz w:val="22"/>
          <w:szCs w:val="22"/>
        </w:rPr>
      </w:pPr>
      <w:r w:rsidRPr="00443B40">
        <w:rPr>
          <w:rFonts w:ascii="Verdana" w:hAnsi="Verdana" w:cs="Arial"/>
          <w:b/>
          <w:bCs/>
          <w:sz w:val="22"/>
          <w:szCs w:val="22"/>
        </w:rPr>
        <w:t>Artikel 2</w:t>
      </w:r>
      <w:r w:rsidRPr="00443B40">
        <w:rPr>
          <w:rFonts w:ascii="Verdana" w:hAnsi="Verdana" w:cs="Arial"/>
          <w:b/>
          <w:bCs/>
          <w:sz w:val="22"/>
          <w:szCs w:val="22"/>
        </w:rPr>
        <w:br/>
        <w:t>Anwendungsbereich</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(1) Diese Verordnung gilt für</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a) Finanzinstrumente, die zum Handel auf einem geregelten Markt zugelassen sind oder für die ein Antrag auf Zulassung zum Handel auf einem geregelten Markt gestellt wurde;</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b) Finanzinstrumente, die in einem multilateralen Handelssystem gehandelt werden, zum Handel in einem multilateralen Handelssystem zugelassen sind oder für die ein Antrag auf Zulassung zum Handel in einem multilateralen Handelssystem gestellt wurde;</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c) Finanzinstrumente, die in einem organisierten Handelssystem gehandelt werden;</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d) Finanzinstrumente, die nicht unter die Buchstaben a, b oder c fallen, deren Kurs oder Wert jedoch von dem Kurs oder Wert eines unter diesen Buchstaben genannten Finanzinstruments abhängt oder sich darauf auswirkt; sie umfassen Kreditausfall-Swaps oder Differenzkontrakte, sind jedoch nicht darauf beschränkt.</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(3) Diese Verordnung gilt für alle Geschäfte, Aufträge und Handlungen, die eines der in den Absätzen 1 und 2 genannten Finanzinstrumente betreffen, unabhängig davon, ob ein solches Geschäft, ein solcher Auftrag oder eine solche Handlung auf einem Handelsplatz getätigt wurden.</w:t>
      </w:r>
    </w:p>
    <w:p w:rsidR="00BE4A31" w:rsidRPr="00443B40" w:rsidRDefault="00BE4A31" w:rsidP="007F4D6F">
      <w:pPr>
        <w:autoSpaceDE w:val="0"/>
        <w:autoSpaceDN w:val="0"/>
        <w:adjustRightInd w:val="0"/>
        <w:spacing w:before="240" w:line="260" w:lineRule="exact"/>
        <w:jc w:val="both"/>
        <w:rPr>
          <w:rFonts w:ascii="Verdana" w:hAnsi="Verdana" w:cs="Arial"/>
          <w:color w:val="19161B"/>
          <w:sz w:val="22"/>
          <w:szCs w:val="22"/>
        </w:rPr>
      </w:pPr>
      <w:r w:rsidRPr="00443B40">
        <w:rPr>
          <w:rFonts w:ascii="Verdana" w:hAnsi="Verdana" w:cs="Arial"/>
          <w:color w:val="19161B"/>
          <w:sz w:val="22"/>
          <w:szCs w:val="22"/>
        </w:rPr>
        <w:t>(4) Die Verbote und Anforderungen dieser Verordnung gelten für Handlungen und Unterlassungen in der Union und in Drittländern in Bezug auf die in den Absätzen 1 und 2 genannten Instrumente.</w:t>
      </w:r>
    </w:p>
    <w:p w:rsidR="005262F8" w:rsidRPr="00443B40" w:rsidRDefault="005262F8" w:rsidP="007F4D6F">
      <w:pPr>
        <w:autoSpaceDE w:val="0"/>
        <w:autoSpaceDN w:val="0"/>
        <w:adjustRightInd w:val="0"/>
        <w:spacing w:before="240" w:line="260" w:lineRule="exact"/>
        <w:jc w:val="center"/>
        <w:rPr>
          <w:rFonts w:ascii="Verdana" w:hAnsi="Verdana" w:cs="Arial"/>
          <w:b/>
          <w:bCs/>
          <w:sz w:val="22"/>
          <w:szCs w:val="22"/>
        </w:rPr>
      </w:pPr>
      <w:r w:rsidRPr="00443B40">
        <w:rPr>
          <w:rFonts w:ascii="Verdana" w:hAnsi="Verdana" w:cs="Arial"/>
          <w:b/>
          <w:bCs/>
          <w:sz w:val="22"/>
          <w:szCs w:val="22"/>
        </w:rPr>
        <w:t>Artikel 3</w:t>
      </w:r>
      <w:r w:rsidR="00B80CA9" w:rsidRPr="00443B40">
        <w:rPr>
          <w:rFonts w:ascii="Verdana" w:hAnsi="Verdana" w:cs="Arial"/>
          <w:b/>
          <w:bCs/>
          <w:sz w:val="22"/>
          <w:szCs w:val="22"/>
        </w:rPr>
        <w:br/>
      </w:r>
      <w:r w:rsidR="00FA77DB" w:rsidRPr="00443B40">
        <w:rPr>
          <w:rFonts w:ascii="Verdana" w:hAnsi="Verdana" w:cs="Arial"/>
          <w:b/>
          <w:bCs/>
          <w:sz w:val="22"/>
          <w:szCs w:val="22"/>
        </w:rPr>
        <w:t>Begriffsbestimmu</w:t>
      </w:r>
      <w:r w:rsidR="00B80CA9" w:rsidRPr="00443B40">
        <w:rPr>
          <w:rFonts w:ascii="Verdana" w:hAnsi="Verdana" w:cs="Arial"/>
          <w:b/>
          <w:bCs/>
          <w:sz w:val="22"/>
          <w:szCs w:val="22"/>
        </w:rPr>
        <w:t>ngen</w:t>
      </w:r>
    </w:p>
    <w:p w:rsidR="005262F8" w:rsidRPr="00443B40" w:rsidRDefault="005262F8"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(1) Für die Zwecke dieser Verordnung gelten folgende Begriffsbestimmungen: </w:t>
      </w:r>
    </w:p>
    <w:p w:rsidR="005262F8" w:rsidRPr="00443B40" w:rsidRDefault="005262F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1. „Finanzinstrument“ bezeichnet ein Finanzinstrument im Sinne von Artikel 4 Absatz 1 Nummer 15 der Richtlinie 2014/65/EU;</w:t>
      </w:r>
    </w:p>
    <w:p w:rsidR="005262F8" w:rsidRPr="00443B40" w:rsidRDefault="00B43476"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w:t>
      </w:r>
      <w:r w:rsidR="005262F8" w:rsidRPr="00443B40">
        <w:rPr>
          <w:rFonts w:ascii="Verdana" w:hAnsi="Verdana" w:cs="Arial"/>
          <w:color w:val="19161B"/>
          <w:sz w:val="22"/>
          <w:szCs w:val="22"/>
        </w:rPr>
        <w:t>…</w:t>
      </w:r>
      <w:r w:rsidRPr="00443B40">
        <w:rPr>
          <w:rFonts w:ascii="Verdana" w:hAnsi="Verdana" w:cs="Arial"/>
          <w:color w:val="19161B"/>
          <w:sz w:val="22"/>
          <w:szCs w:val="22"/>
        </w:rPr>
        <w:t>)</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6. „geregelter Markt“ bezeichnet einen geregelten Markt im Sinne von Artikel 4 Absatz 1 Nummer 21 der Richtlinie</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2014/65/EU;</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7. „multilaterales Handelssystem“ bezeichnet ein multilaterales System in der Union im Sinne von Artikel 4 Absatz 1</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lastRenderedPageBreak/>
        <w:t>Nummer 22 der Richtlinie 2014/65/EU;</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8. „organisiertes Handelssystem“ bezeichnet ein System oder eine Fazilität in der Union im Sinne von Artikel 4 Absatz 1</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Nummer 23 der Richtlinie 2014/65/EU;</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w:t>
      </w:r>
    </w:p>
    <w:p w:rsidR="00E56D88" w:rsidRPr="00443B40" w:rsidRDefault="00E56D88" w:rsidP="007F4D6F">
      <w:pPr>
        <w:autoSpaceDE w:val="0"/>
        <w:autoSpaceDN w:val="0"/>
        <w:adjustRightInd w:val="0"/>
        <w:spacing w:before="240" w:line="260" w:lineRule="exact"/>
        <w:ind w:left="360"/>
        <w:jc w:val="both"/>
        <w:rPr>
          <w:rFonts w:ascii="Verdana" w:hAnsi="Verdana" w:cs="Arial"/>
          <w:color w:val="19161B"/>
          <w:sz w:val="22"/>
          <w:szCs w:val="22"/>
        </w:rPr>
      </w:pPr>
      <w:r w:rsidRPr="00443B40">
        <w:rPr>
          <w:rFonts w:ascii="Verdana" w:hAnsi="Verdana" w:cs="Arial"/>
          <w:color w:val="19161B"/>
          <w:sz w:val="22"/>
          <w:szCs w:val="22"/>
        </w:rPr>
        <w:t>21. „Emittent“ bezeichnet eine juristische Person des privaten oder öffentlichen Rechts, die Finanzinstrumente emittiert oder deren Emission vorschlägt, wobei der Emittent im Fall von Hinterlegungsscheinen, die Finanzinstrumente repräsentieren, der Emittent des repräsentierten Finanzinstruments ist;</w:t>
      </w:r>
    </w:p>
    <w:p w:rsidR="00E56D88" w:rsidRPr="00443B40" w:rsidRDefault="00E56D88" w:rsidP="007F4D6F">
      <w:pPr>
        <w:autoSpaceDE w:val="0"/>
        <w:autoSpaceDN w:val="0"/>
        <w:adjustRightInd w:val="0"/>
        <w:spacing w:before="240" w:line="260" w:lineRule="exact"/>
        <w:ind w:left="360"/>
        <w:jc w:val="both"/>
        <w:rPr>
          <w:rFonts w:ascii="Verdana" w:hAnsi="Verdana" w:cs="Arial"/>
          <w:color w:val="000000"/>
          <w:sz w:val="22"/>
          <w:szCs w:val="22"/>
        </w:rPr>
      </w:pPr>
      <w:r w:rsidRPr="00443B40">
        <w:rPr>
          <w:rFonts w:ascii="Verdana" w:hAnsi="Verdana" w:cs="Arial"/>
          <w:color w:val="19161B"/>
          <w:sz w:val="22"/>
          <w:szCs w:val="22"/>
        </w:rPr>
        <w:t>(…)</w:t>
      </w:r>
    </w:p>
    <w:p w:rsidR="00E80F16" w:rsidRPr="00443B40" w:rsidRDefault="00E80F16" w:rsidP="007F4D6F">
      <w:pPr>
        <w:autoSpaceDE w:val="0"/>
        <w:autoSpaceDN w:val="0"/>
        <w:adjustRightInd w:val="0"/>
        <w:spacing w:before="240" w:line="260" w:lineRule="exact"/>
        <w:jc w:val="center"/>
        <w:rPr>
          <w:rFonts w:ascii="Verdana" w:hAnsi="Verdana" w:cs="Arial"/>
          <w:b/>
          <w:bCs/>
          <w:sz w:val="22"/>
          <w:szCs w:val="22"/>
        </w:rPr>
      </w:pPr>
      <w:r w:rsidRPr="00443B40">
        <w:rPr>
          <w:rFonts w:ascii="Verdana" w:hAnsi="Verdana" w:cs="Arial"/>
          <w:b/>
          <w:bCs/>
          <w:sz w:val="22"/>
          <w:szCs w:val="22"/>
        </w:rPr>
        <w:t xml:space="preserve">Artikel 7 </w:t>
      </w:r>
      <w:r w:rsidR="00B80CA9" w:rsidRPr="00443B40">
        <w:rPr>
          <w:rFonts w:ascii="Verdana" w:hAnsi="Verdana" w:cs="Arial"/>
          <w:b/>
          <w:bCs/>
          <w:sz w:val="22"/>
          <w:szCs w:val="22"/>
        </w:rPr>
        <w:br/>
      </w:r>
      <w:r w:rsidRPr="00443B40">
        <w:rPr>
          <w:rFonts w:ascii="Verdana" w:hAnsi="Verdana" w:cs="Arial"/>
          <w:b/>
          <w:bCs/>
          <w:sz w:val="22"/>
          <w:szCs w:val="22"/>
        </w:rPr>
        <w:t>Insiderinformatione</w:t>
      </w:r>
      <w:r w:rsidR="00B80CA9" w:rsidRPr="00443B40">
        <w:rPr>
          <w:rFonts w:ascii="Verdana" w:hAnsi="Verdana" w:cs="Arial"/>
          <w:b/>
          <w:bCs/>
          <w:sz w:val="22"/>
          <w:szCs w:val="22"/>
        </w:rPr>
        <w:t>n</w:t>
      </w:r>
    </w:p>
    <w:p w:rsidR="00E80F16" w:rsidRPr="00443B40" w:rsidRDefault="00E80F16" w:rsidP="007F4D6F">
      <w:pPr>
        <w:pStyle w:val="CM4"/>
        <w:spacing w:before="240" w:line="260" w:lineRule="exact"/>
        <w:jc w:val="both"/>
        <w:rPr>
          <w:rFonts w:ascii="Verdana" w:hAnsi="Verdana" w:cs="Arial"/>
          <w:sz w:val="22"/>
          <w:szCs w:val="22"/>
          <w:lang w:bidi="ar-SA"/>
        </w:rPr>
      </w:pPr>
      <w:r w:rsidRPr="00443B40">
        <w:rPr>
          <w:rFonts w:ascii="Verdana" w:hAnsi="Verdana" w:cs="Arial"/>
          <w:sz w:val="22"/>
          <w:szCs w:val="22"/>
          <w:lang w:bidi="ar-SA"/>
        </w:rPr>
        <w:t xml:space="preserve">(1) Für die Zwecke dieser Verordnung umfasst der Begriff „Insiderinformationen“ folgende Arten von Informationen: </w:t>
      </w:r>
    </w:p>
    <w:p w:rsidR="00E80F16" w:rsidRPr="00443B40" w:rsidRDefault="00E80F16" w:rsidP="007F4D6F">
      <w:pPr>
        <w:pStyle w:val="CM4"/>
        <w:spacing w:before="240" w:line="260" w:lineRule="exact"/>
        <w:jc w:val="both"/>
        <w:rPr>
          <w:rFonts w:ascii="Verdana" w:hAnsi="Verdana" w:cs="Arial"/>
          <w:sz w:val="22"/>
          <w:szCs w:val="22"/>
          <w:lang w:bidi="ar-SA"/>
        </w:rPr>
      </w:pPr>
      <w:r w:rsidRPr="00443B40">
        <w:rPr>
          <w:rFonts w:ascii="Verdana" w:hAnsi="Verdana" w:cs="Arial"/>
          <w:sz w:val="22"/>
          <w:szCs w:val="22"/>
          <w:lang w:bidi="ar-SA"/>
        </w:rPr>
        <w:t xml:space="preserve">a) nicht öffentlich bekannte präzise Informationen, die direkt oder indirekt einen oder mehrere Emittenten oder ein oder mehrere Finanzinstrumente betreffen und die, wenn sie öffentlich bekannt würden, geeignet wären, den Kurs dieser Finanzinstrumente oder den Kurs damit verbundener derivativer Finanzinstrumente erheblich zu beeinflussen; </w:t>
      </w:r>
    </w:p>
    <w:p w:rsidR="00E80F16" w:rsidRPr="00443B40" w:rsidRDefault="00444D90" w:rsidP="007F4D6F">
      <w:pPr>
        <w:pStyle w:val="CM4"/>
        <w:spacing w:before="240" w:line="260" w:lineRule="exact"/>
        <w:jc w:val="both"/>
        <w:rPr>
          <w:rFonts w:ascii="Verdana" w:hAnsi="Verdana" w:cs="Arial"/>
          <w:sz w:val="22"/>
          <w:szCs w:val="22"/>
          <w:lang w:bidi="ar-SA"/>
        </w:rPr>
      </w:pPr>
      <w:r w:rsidRPr="00443B40">
        <w:rPr>
          <w:rFonts w:ascii="Verdana" w:hAnsi="Verdana" w:cs="Arial"/>
          <w:sz w:val="22"/>
          <w:szCs w:val="22"/>
          <w:lang w:bidi="ar-SA"/>
        </w:rPr>
        <w:t>(…)</w:t>
      </w:r>
    </w:p>
    <w:p w:rsidR="00E80F16" w:rsidRPr="00443B40" w:rsidRDefault="00E80F16" w:rsidP="007F4D6F">
      <w:pPr>
        <w:pStyle w:val="CM4"/>
        <w:spacing w:before="240" w:line="260" w:lineRule="exact"/>
        <w:jc w:val="both"/>
        <w:rPr>
          <w:rFonts w:ascii="Verdana" w:hAnsi="Verdana" w:cs="Arial"/>
          <w:sz w:val="22"/>
          <w:szCs w:val="22"/>
          <w:lang w:bidi="ar-SA"/>
        </w:rPr>
      </w:pPr>
      <w:r w:rsidRPr="00443B40">
        <w:rPr>
          <w:rFonts w:ascii="Verdana" w:hAnsi="Verdana" w:cs="Arial"/>
          <w:sz w:val="22"/>
          <w:szCs w:val="22"/>
          <w:lang w:bidi="ar-SA"/>
        </w:rPr>
        <w:t xml:space="preserve">d) für Personen, die mit der Ausführung von Aufträgen in Bezug auf Finanzinstrumente beauftragt sind, bezeichnet der Begriff auch Informationen, die von einem Kunden mitgeteilt wurden und sich auf die noch nicht ausgeführten Aufträge des Kunden in Bezug auf Finanzinstrumente beziehen, die präzise sind, direkt oder indirekt einen oder mehrere Emittenten oder ein oder mehrere Finanzinstrumente betreffen und die, wenn sie öffentlich bekannt würden, geeignet wären, den Kurs dieser Finanzinstrumente, damit verbundener Waren-Spot-Kontrakte oder zugehöriger derivativer Finanzinstrumente erheblich zu beeinflussen. </w:t>
      </w:r>
    </w:p>
    <w:p w:rsidR="00E80F16" w:rsidRPr="00443B40" w:rsidRDefault="00E80F16" w:rsidP="007F4D6F">
      <w:pPr>
        <w:pStyle w:val="CM4"/>
        <w:spacing w:before="240" w:line="260" w:lineRule="exact"/>
        <w:jc w:val="both"/>
        <w:rPr>
          <w:rFonts w:ascii="Verdana" w:hAnsi="Verdana" w:cs="Arial"/>
          <w:sz w:val="22"/>
          <w:szCs w:val="22"/>
          <w:lang w:bidi="ar-SA"/>
        </w:rPr>
      </w:pPr>
      <w:r w:rsidRPr="00443B40">
        <w:rPr>
          <w:rFonts w:ascii="Verdana" w:hAnsi="Verdana" w:cs="Arial"/>
          <w:sz w:val="22"/>
          <w:szCs w:val="22"/>
          <w:lang w:bidi="ar-SA"/>
        </w:rPr>
        <w:t xml:space="preserve">(2) Für die Zwecke des Absatzes 1 sind Informationen dann als präzise anzusehen, wenn damit eine Reihe von Umständen gemeint ist, die bereits gegeben sind oder bei denen man vernünftigerweise erwarten kann, dass sie in Zukunft gegeben sein werden, oder ein Ereignis, das bereits eingetreten ist oder von den vernünftigerweise erwarten kann, dass es in Zukunft eintreten wird, und diese Informationen darüber hinaus spezifisch genug sind, um einen Schluss auf die mögliche Auswirkung dieser Reihe von Umständen oder dieses Ereignisses auf die Kurse der Finanzinstrumente oder des damit verbundenen derivativen Finanzinstruments, der damit verbundenen Waren-Spot-Kontrakte oder der auf den Emissionszertifikaten beruhenden Auktionsobjekte zuzulassen. So können im Fall eines zeitlich gestreckten Vorgangs, der einen bestimmten Umstand oder ein </w:t>
      </w:r>
      <w:r w:rsidRPr="00443B40">
        <w:rPr>
          <w:rFonts w:ascii="Verdana" w:hAnsi="Verdana" w:cs="Arial"/>
          <w:sz w:val="22"/>
          <w:szCs w:val="22"/>
          <w:lang w:bidi="ar-SA"/>
        </w:rPr>
        <w:lastRenderedPageBreak/>
        <w:t xml:space="preserve">bestimmtes Ereignis herbeiführen soll oder hervorbringt, dieser betreffende zukünftige Umstand bzw. das betreffende zukünftige Ereignis und auch die Zwischenschritte in diesem Vorgang, die mit der Herbeiführung oder Hervorbringung dieses zukünftigen Umstandes oder Ereignisses verbunden sind, in dieser Hinsicht als präzise Information betrachtet werden. </w:t>
      </w:r>
    </w:p>
    <w:p w:rsidR="00E80F16" w:rsidRPr="00443B40" w:rsidRDefault="00E80F16" w:rsidP="007F4D6F">
      <w:pPr>
        <w:pStyle w:val="CM4"/>
        <w:spacing w:before="240" w:line="260" w:lineRule="exact"/>
        <w:jc w:val="both"/>
        <w:rPr>
          <w:rFonts w:ascii="Verdana" w:hAnsi="Verdana" w:cs="Arial"/>
          <w:sz w:val="22"/>
          <w:szCs w:val="22"/>
          <w:lang w:bidi="ar-SA"/>
        </w:rPr>
      </w:pPr>
      <w:r w:rsidRPr="00443B40">
        <w:rPr>
          <w:rFonts w:ascii="Verdana" w:hAnsi="Verdana" w:cs="Arial"/>
          <w:sz w:val="22"/>
          <w:szCs w:val="22"/>
          <w:lang w:bidi="ar-SA"/>
        </w:rPr>
        <w:t xml:space="preserve">(3) Ein Zwischenschritt in einem gestreckten Vorgang wird als eine Insiderinformation betrachtet, falls er für sich genommen die Kriterien für Insiderinformationen gemäß diesem Artikel erfüllt. </w:t>
      </w:r>
    </w:p>
    <w:p w:rsidR="00E80F16" w:rsidRPr="00443B40" w:rsidRDefault="00E80F16" w:rsidP="007F4D6F">
      <w:pPr>
        <w:pStyle w:val="CM4"/>
        <w:spacing w:before="240" w:line="260" w:lineRule="exact"/>
        <w:jc w:val="both"/>
        <w:rPr>
          <w:rFonts w:ascii="Verdana" w:hAnsi="Verdana" w:cs="Arial"/>
          <w:sz w:val="22"/>
          <w:szCs w:val="22"/>
          <w:lang w:bidi="ar-SA"/>
        </w:rPr>
      </w:pPr>
      <w:r w:rsidRPr="00443B40">
        <w:rPr>
          <w:rFonts w:ascii="Verdana" w:hAnsi="Verdana" w:cs="Arial"/>
          <w:sz w:val="22"/>
          <w:szCs w:val="22"/>
          <w:lang w:bidi="ar-SA"/>
        </w:rPr>
        <w:t xml:space="preserve">(4) Für die Zwecke des Absatzes 1 ist sind unter „Informationen, die, wenn sie öffentlich bekannt würden, geeignet wären, den Kurs von Finanzinstrumenten, derivativen Finanzinstrumenten, damit verbundenen Waren-Spot-Kontrakten oder auf Emissionszertifikaten beruhenden Auktionsobjekten spürbar zu beeinflussen“ Informationen zu verstehen, die ein verständiger Anleger wahrscheinlich als Teil der Grundlage seiner Anlageentscheidungen nutzen würde. </w:t>
      </w:r>
    </w:p>
    <w:p w:rsidR="00AD11D1" w:rsidRPr="00443B40" w:rsidRDefault="00B43476"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w:t>
      </w:r>
      <w:r w:rsidR="00AD11D1" w:rsidRPr="00443B40">
        <w:rPr>
          <w:rFonts w:ascii="Verdana" w:hAnsi="Verdana" w:cs="Arial"/>
          <w:sz w:val="22"/>
          <w:szCs w:val="22"/>
        </w:rPr>
        <w:t>…</w:t>
      </w:r>
      <w:r w:rsidRPr="00443B40">
        <w:rPr>
          <w:rFonts w:ascii="Verdana" w:hAnsi="Verdana" w:cs="Arial"/>
          <w:sz w:val="22"/>
          <w:szCs w:val="22"/>
        </w:rPr>
        <w:t>)</w:t>
      </w:r>
    </w:p>
    <w:p w:rsidR="008D50DE" w:rsidRPr="00443B40" w:rsidRDefault="008D50DE" w:rsidP="007F4D6F">
      <w:pPr>
        <w:pStyle w:val="CM4"/>
        <w:spacing w:before="240" w:line="260" w:lineRule="exact"/>
        <w:jc w:val="center"/>
        <w:rPr>
          <w:rFonts w:ascii="Verdana" w:hAnsi="Verdana" w:cs="Arial"/>
          <w:b/>
          <w:bCs/>
          <w:color w:val="19161B"/>
          <w:sz w:val="22"/>
          <w:szCs w:val="22"/>
        </w:rPr>
      </w:pPr>
      <w:r w:rsidRPr="00443B40">
        <w:rPr>
          <w:rFonts w:ascii="Verdana" w:hAnsi="Verdana" w:cs="Arial"/>
          <w:b/>
          <w:bCs/>
          <w:color w:val="19161B"/>
          <w:sz w:val="22"/>
          <w:szCs w:val="22"/>
        </w:rPr>
        <w:t>Artikel 8</w:t>
      </w:r>
    </w:p>
    <w:p w:rsidR="008D50DE" w:rsidRPr="00443B40" w:rsidRDefault="008D50DE" w:rsidP="007F4D6F">
      <w:pPr>
        <w:pStyle w:val="CM4"/>
        <w:spacing w:before="240" w:line="260" w:lineRule="exact"/>
        <w:jc w:val="center"/>
        <w:rPr>
          <w:rFonts w:ascii="Verdana" w:hAnsi="Verdana" w:cs="Arial"/>
          <w:b/>
          <w:bCs/>
          <w:color w:val="19161B"/>
          <w:sz w:val="22"/>
          <w:szCs w:val="22"/>
        </w:rPr>
      </w:pPr>
      <w:r w:rsidRPr="00443B40">
        <w:rPr>
          <w:rFonts w:ascii="Verdana" w:hAnsi="Verdana" w:cs="Arial"/>
          <w:b/>
          <w:bCs/>
          <w:color w:val="19161B"/>
          <w:sz w:val="22"/>
          <w:szCs w:val="22"/>
        </w:rPr>
        <w:t>Insidergeschäfte</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(1) Für die Zwecke dieser Verordnung liegt ein Insidergeschäft vor, wenn eine Person über Insiderinformationen verfügt und unter Nutzung derselben für eigene oder fremde Rechnung direkt oder indirekt Finanzinstrumente, auf die sich die Informationen beziehen, erwirbt oder veräußert. Die Nutzung von Insiderinformationen in Form der Stornierung oder Änderung eines Auftrags in Bezug auf ein Finanzinstrument, auf das sich die Informationen beziehen, gilt auch als Insidergeschäft, wenn der Auftrag vor Erlangen der Insiderinformationen erteilt wurde. </w:t>
      </w:r>
      <w:r w:rsidR="00F41523" w:rsidRPr="00443B40">
        <w:rPr>
          <w:rFonts w:ascii="Verdana" w:hAnsi="Verdana" w:cs="Arial"/>
          <w:color w:val="19161B"/>
          <w:sz w:val="22"/>
          <w:szCs w:val="22"/>
        </w:rPr>
        <w:t>(…)</w:t>
      </w:r>
      <w:r w:rsidRPr="00443B40">
        <w:rPr>
          <w:rFonts w:ascii="Verdana" w:hAnsi="Verdana" w:cs="Arial"/>
          <w:color w:val="19161B"/>
          <w:sz w:val="22"/>
          <w:szCs w:val="22"/>
        </w:rPr>
        <w:t xml:space="preserve">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(2) Für die Zwecke dieser Verordnung liegt eine Empfehlung zum Tätigen von Insidergeschäften oder die Anstiftung Dritter hierzu vor, wenn eine Person über Insiderinformationen verfügt und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a) auf der Grundlage dieser Informationen Dritten empfiehlt, Finanzinstrumente, auf die sich die Informationen beziehen, zu erwerben oder zu veräußern, oder sie dazu anstiftet, einen solchen Erwerb oder eine solche Veräußerung vorzunehmen, oder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b) auf der Grundlage dieser Informationen Dritten empfiehlt, einen Auftrag, der ein Finanzinstrument betrifft, auf das sich die Informationen beziehen, zu stornieren oder zu ändern, oder sie dazu anstiftet, eine solche Stornierung oder Änderung vorzunehmen.</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(3) Die Nutzung von Empfehlungen oder Anstiftungen gemäß Absatz 2 erfüllt den Tatbestand des Insidergeschäfts im Sinne dieses Artikels, wenn die Person, die die Empfehlung nutzt oder der Anstiftung folgt, weiß oder wissen sollte, dass diese auf Insiderinformationen beruht.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lastRenderedPageBreak/>
        <w:t xml:space="preserve">(4) Dieser Artikel gilt für jede Person, die über Insiderinformationen verfügt, weil sie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a) dem Verwaltungs-, Leitungs- oder Aufsichtsorgan des Emittenten oder des Teilnehmers am Markt für Emissionszertifikate angehört;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b) am Kapital des Emittenten oder des Teilnehmers am Markt für Emissionszertifikate beteiligt ist;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c) aufgrund der Ausübung einer Arbeit oder eines Berufs oder der Erfüllung von Aufgaben Zugang zu den betreffenden Informationen hat oder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d) an kriminellen Handlungen beteiligt ist.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Dieser Artikel gilt auch für jede Person, die Insiderinformationen unter anderen Umständen als nach Unterabsatz 1 besitzt und weiß oder wissen müsste, dass es sich dabei um Insiderinformationen handelt.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(5) Handelt es sich bei der in diesem Artikel genannten Person um eine juristische Person, so gilt dieser Artikel nach Maßgabe des nationalen Rechts auch für die natürlichen Personen, die an dem Beschluss, den Erwerb, die Veräußerung, die Stornierung oder Änderung eines Auftrags für Rechnung der betreffenden juristischen Person zu tätigen, beteiligt sind oder diesen beeinflussen. </w:t>
      </w:r>
    </w:p>
    <w:p w:rsidR="008D50DE" w:rsidRPr="00443B40" w:rsidRDefault="008D50DE" w:rsidP="007F4D6F">
      <w:pPr>
        <w:pStyle w:val="CM4"/>
        <w:keepNext/>
        <w:spacing w:before="240" w:line="260" w:lineRule="exact"/>
        <w:jc w:val="center"/>
        <w:rPr>
          <w:rFonts w:ascii="Verdana" w:hAnsi="Verdana" w:cs="Arial"/>
          <w:b/>
          <w:bCs/>
          <w:color w:val="19161B"/>
          <w:sz w:val="22"/>
          <w:szCs w:val="22"/>
        </w:rPr>
      </w:pPr>
      <w:r w:rsidRPr="00443B40">
        <w:rPr>
          <w:rFonts w:ascii="Verdana" w:hAnsi="Verdana" w:cs="Arial"/>
          <w:b/>
          <w:bCs/>
          <w:color w:val="19161B"/>
          <w:sz w:val="22"/>
          <w:szCs w:val="22"/>
        </w:rPr>
        <w:t>Artikel 10</w:t>
      </w:r>
    </w:p>
    <w:p w:rsidR="008D50DE" w:rsidRPr="00443B40" w:rsidRDefault="008D50DE" w:rsidP="007F4D6F">
      <w:pPr>
        <w:pStyle w:val="CM4"/>
        <w:keepNext/>
        <w:spacing w:before="240" w:line="260" w:lineRule="exact"/>
        <w:jc w:val="center"/>
        <w:rPr>
          <w:rFonts w:ascii="Verdana" w:hAnsi="Verdana" w:cs="Arial"/>
          <w:b/>
          <w:bCs/>
          <w:color w:val="19161B"/>
          <w:sz w:val="22"/>
          <w:szCs w:val="22"/>
        </w:rPr>
      </w:pPr>
      <w:r w:rsidRPr="00443B40">
        <w:rPr>
          <w:rFonts w:ascii="Verdana" w:hAnsi="Verdana" w:cs="Arial"/>
          <w:b/>
          <w:bCs/>
          <w:color w:val="19161B"/>
          <w:sz w:val="22"/>
          <w:szCs w:val="22"/>
        </w:rPr>
        <w:t>Unrechtmäßige Offenlegung von Insiderinformationen</w:t>
      </w:r>
    </w:p>
    <w:p w:rsidR="008D50DE" w:rsidRPr="00443B40" w:rsidRDefault="008D50DE" w:rsidP="007F4D6F">
      <w:pPr>
        <w:pStyle w:val="CM4"/>
        <w:keepNext/>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(1) Für die Zwecke dieser Verordnung liegt eine unrechtmäßige Offenlegung von Insiderinformationen vor, wenn eine Person, die über Insiderinformationen verfügt und diese Informationen gegenüber einer anderen Person offenlegt, es sei denn, die Offenlegung geschieht im Zuge der normalen Ausübung einer Beschäftigung oder eines Berufs oder der normalen Erfüllung von Aufgaben. </w:t>
      </w:r>
    </w:p>
    <w:p w:rsidR="008D50DE" w:rsidRPr="00443B40" w:rsidRDefault="008D50DE"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Dieser Absatz gilt für alle natürlichen oder juristischen Personen in den Situationen oder unter den Umständen gemäß Artikel 8 Absatz 4. </w:t>
      </w:r>
    </w:p>
    <w:p w:rsidR="00E80F16" w:rsidRPr="00443B40" w:rsidRDefault="008D50DE" w:rsidP="007F4D6F">
      <w:pPr>
        <w:pStyle w:val="doc-ti"/>
        <w:spacing w:before="240" w:beforeAutospacing="0" w:after="0" w:afterAutospacing="0" w:line="260" w:lineRule="exact"/>
        <w:jc w:val="both"/>
        <w:rPr>
          <w:rFonts w:ascii="Verdana" w:hAnsi="Verdana" w:cs="Arial"/>
          <w:sz w:val="22"/>
          <w:szCs w:val="22"/>
        </w:rPr>
      </w:pPr>
      <w:r w:rsidRPr="00443B40">
        <w:rPr>
          <w:rFonts w:ascii="Verdana" w:hAnsi="Verdana" w:cs="Arial"/>
          <w:color w:val="19161B"/>
          <w:sz w:val="22"/>
          <w:szCs w:val="22"/>
        </w:rPr>
        <w:t>(2) Für die Zwecke dieser Verordnung gilt die Weitergabe von Empfehlungen oder das Anstiften anderer, nachdem man selbst angestiftet wurde, gemäß Artikel 8 Absatz 2 als unrechtmäßige Offenlegung von Insiderinformationen gemäß diesem Artikel, wenn die Person, die die Empfehlung weitergibt oder andere anstiftet, nachdem sie selbst angestiftet wurde, weiß oder wissen sollte, dass die Empfehlung bzw. Anstiftung auf Insiderinformationen beruht.</w:t>
      </w:r>
    </w:p>
    <w:p w:rsidR="00B80CA9" w:rsidRPr="00443B40" w:rsidRDefault="00B80CA9" w:rsidP="007F4D6F">
      <w:pPr>
        <w:pStyle w:val="CM4"/>
        <w:keepNext/>
        <w:spacing w:before="240" w:line="260" w:lineRule="exact"/>
        <w:jc w:val="center"/>
        <w:rPr>
          <w:rFonts w:ascii="Verdana" w:hAnsi="Verdana" w:cs="Arial"/>
          <w:b/>
          <w:bCs/>
          <w:color w:val="19161B"/>
          <w:sz w:val="22"/>
          <w:szCs w:val="22"/>
        </w:rPr>
      </w:pPr>
      <w:r w:rsidRPr="00443B40">
        <w:rPr>
          <w:rFonts w:ascii="Verdana" w:hAnsi="Verdana" w:cs="Arial"/>
          <w:b/>
          <w:bCs/>
          <w:color w:val="19161B"/>
          <w:sz w:val="22"/>
          <w:szCs w:val="22"/>
        </w:rPr>
        <w:t>Artikel 14</w:t>
      </w:r>
    </w:p>
    <w:p w:rsidR="00B80CA9" w:rsidRPr="00443B40" w:rsidRDefault="00B80CA9" w:rsidP="007F4D6F">
      <w:pPr>
        <w:pStyle w:val="CM4"/>
        <w:keepNext/>
        <w:spacing w:before="240" w:line="260" w:lineRule="exact"/>
        <w:jc w:val="center"/>
        <w:rPr>
          <w:rFonts w:ascii="Verdana" w:hAnsi="Verdana" w:cs="Arial"/>
          <w:b/>
          <w:bCs/>
          <w:color w:val="19161B"/>
          <w:sz w:val="22"/>
          <w:szCs w:val="22"/>
        </w:rPr>
      </w:pPr>
      <w:r w:rsidRPr="00443B40">
        <w:rPr>
          <w:rFonts w:ascii="Verdana" w:hAnsi="Verdana" w:cs="Arial"/>
          <w:b/>
          <w:bCs/>
          <w:color w:val="19161B"/>
          <w:sz w:val="22"/>
          <w:szCs w:val="22"/>
        </w:rPr>
        <w:t>Verbot von Insidergeschäften und unrechtmäßiger Offenlegung von Insiderinformationen</w:t>
      </w:r>
    </w:p>
    <w:p w:rsidR="00B80CA9" w:rsidRPr="00443B40" w:rsidRDefault="00B80CA9" w:rsidP="007F4D6F">
      <w:pPr>
        <w:pStyle w:val="CM4"/>
        <w:keepNext/>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Folgende Handlungen sind verboten: </w:t>
      </w:r>
    </w:p>
    <w:p w:rsidR="00B80CA9" w:rsidRPr="00443B40" w:rsidRDefault="00B80CA9"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 xml:space="preserve">a) das Tätigen von Insidergeschäften und der Versuch hierzu, </w:t>
      </w:r>
    </w:p>
    <w:p w:rsidR="00512A36" w:rsidRPr="00443B40" w:rsidRDefault="00B80CA9"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lastRenderedPageBreak/>
        <w:t>b) Dritten zu empfehlen, Insidergeschäfte zu tätigen, oder Dritte anzustiften, Insidergeschäfte zu tätigen, oder</w:t>
      </w:r>
    </w:p>
    <w:p w:rsidR="00B80CA9" w:rsidRDefault="00B80CA9" w:rsidP="007F4D6F">
      <w:pPr>
        <w:pStyle w:val="CM4"/>
        <w:spacing w:before="240" w:line="260" w:lineRule="exact"/>
        <w:jc w:val="both"/>
        <w:rPr>
          <w:rFonts w:ascii="Verdana" w:hAnsi="Verdana" w:cs="Arial"/>
          <w:color w:val="19161B"/>
          <w:sz w:val="22"/>
          <w:szCs w:val="22"/>
        </w:rPr>
      </w:pPr>
      <w:r w:rsidRPr="00443B40">
        <w:rPr>
          <w:rFonts w:ascii="Verdana" w:hAnsi="Verdana" w:cs="Arial"/>
          <w:color w:val="19161B"/>
          <w:sz w:val="22"/>
          <w:szCs w:val="22"/>
        </w:rPr>
        <w:t>c) die unrechtmäßige Offenlegung von Insiderinformationen.</w:t>
      </w:r>
    </w:p>
    <w:p w:rsidR="00006E49" w:rsidRPr="00006E49" w:rsidRDefault="00006E49" w:rsidP="00006E49">
      <w:pPr>
        <w:rPr>
          <w:lang w:bidi="th-TH"/>
        </w:rPr>
      </w:pPr>
    </w:p>
    <w:p w:rsidR="00A93BAD" w:rsidRPr="00443B40" w:rsidRDefault="00A93BAD" w:rsidP="007F4D6F">
      <w:pPr>
        <w:keepNext/>
        <w:autoSpaceDE w:val="0"/>
        <w:autoSpaceDN w:val="0"/>
        <w:adjustRightInd w:val="0"/>
        <w:spacing w:before="240" w:line="260" w:lineRule="exact"/>
        <w:jc w:val="center"/>
        <w:rPr>
          <w:rFonts w:ascii="Verdana" w:hAnsi="Verdana" w:cs="Arial"/>
          <w:b/>
          <w:bCs/>
          <w:sz w:val="22"/>
          <w:szCs w:val="22"/>
        </w:rPr>
      </w:pPr>
      <w:r w:rsidRPr="00443B40">
        <w:rPr>
          <w:rFonts w:ascii="Verdana" w:hAnsi="Verdana" w:cs="Arial"/>
          <w:b/>
          <w:bCs/>
          <w:sz w:val="22"/>
          <w:szCs w:val="22"/>
        </w:rPr>
        <w:t>Wertpapierhandelsgesetz</w:t>
      </w:r>
      <w:r w:rsidR="00B2268F">
        <w:rPr>
          <w:rFonts w:ascii="Verdana" w:hAnsi="Verdana" w:cs="Arial"/>
          <w:b/>
          <w:bCs/>
          <w:sz w:val="22"/>
          <w:szCs w:val="22"/>
        </w:rPr>
        <w:t xml:space="preserve"> (WpHG)</w:t>
      </w:r>
      <w:r w:rsidRPr="00443B40">
        <w:rPr>
          <w:rFonts w:ascii="Verdana" w:hAnsi="Verdana" w:cs="Arial"/>
          <w:b/>
          <w:bCs/>
          <w:sz w:val="22"/>
          <w:szCs w:val="22"/>
        </w:rPr>
        <w:t xml:space="preserve"> </w:t>
      </w:r>
      <w:r w:rsidR="00F64BFE" w:rsidRPr="00443B40">
        <w:rPr>
          <w:rFonts w:ascii="Verdana" w:hAnsi="Verdana" w:cs="Arial"/>
          <w:b/>
          <w:bCs/>
          <w:sz w:val="22"/>
          <w:szCs w:val="22"/>
        </w:rPr>
        <w:br/>
      </w:r>
      <w:r w:rsidR="00AD33FA" w:rsidRPr="00443B40">
        <w:rPr>
          <w:rFonts w:ascii="Verdana" w:hAnsi="Verdana" w:cs="Arial"/>
          <w:b/>
          <w:bCs/>
          <w:sz w:val="22"/>
          <w:szCs w:val="22"/>
        </w:rPr>
        <w:t>(</w:t>
      </w:r>
      <w:r w:rsidR="002975F9" w:rsidRPr="00443B40">
        <w:rPr>
          <w:rFonts w:ascii="Verdana" w:hAnsi="Verdana" w:cs="Arial"/>
          <w:b/>
          <w:bCs/>
          <w:sz w:val="22"/>
          <w:szCs w:val="22"/>
        </w:rPr>
        <w:t>in der Fassung des</w:t>
      </w:r>
      <w:r w:rsidRPr="00443B40">
        <w:rPr>
          <w:rFonts w:ascii="Verdana" w:hAnsi="Verdana" w:cs="Arial"/>
          <w:b/>
          <w:bCs/>
          <w:sz w:val="22"/>
          <w:szCs w:val="22"/>
        </w:rPr>
        <w:t xml:space="preserve"> Ersten Gesetzes zur Novellierung von Finanzmarktvorschriften</w:t>
      </w:r>
      <w:r w:rsidR="002975F9" w:rsidRPr="00443B40">
        <w:rPr>
          <w:rFonts w:ascii="Verdana" w:hAnsi="Verdana" w:cs="Arial"/>
          <w:b/>
          <w:bCs/>
          <w:sz w:val="22"/>
          <w:szCs w:val="22"/>
          <w:lang w:bidi="th-TH"/>
        </w:rPr>
        <w:t xml:space="preserve"> </w:t>
      </w:r>
      <w:r w:rsidRPr="00443B40">
        <w:rPr>
          <w:rFonts w:ascii="Verdana" w:hAnsi="Verdana" w:cs="Arial"/>
          <w:b/>
          <w:bCs/>
          <w:sz w:val="22"/>
          <w:szCs w:val="22"/>
          <w:lang w:bidi="th-TH"/>
        </w:rPr>
        <w:t>auf Grund europäischer Rechtsakte</w:t>
      </w:r>
      <w:r w:rsidR="002975F9" w:rsidRPr="00443B40">
        <w:rPr>
          <w:rFonts w:ascii="Verdana" w:hAnsi="Verdana" w:cs="Arial"/>
          <w:b/>
          <w:bCs/>
          <w:sz w:val="22"/>
          <w:szCs w:val="22"/>
          <w:lang w:bidi="th-TH"/>
        </w:rPr>
        <w:t xml:space="preserve"> </w:t>
      </w:r>
      <w:r w:rsidRPr="00443B40">
        <w:rPr>
          <w:rFonts w:ascii="Verdana" w:hAnsi="Verdana" w:cs="Arial"/>
          <w:b/>
          <w:bCs/>
          <w:sz w:val="22"/>
          <w:szCs w:val="22"/>
          <w:lang w:bidi="th-TH"/>
        </w:rPr>
        <w:t>(Erstes Finanzmarktnovellierungsgesetz – 1. Fi</w:t>
      </w:r>
      <w:r w:rsidR="002975F9" w:rsidRPr="00443B40">
        <w:rPr>
          <w:rFonts w:ascii="Verdana" w:hAnsi="Verdana" w:cs="Arial"/>
          <w:b/>
          <w:bCs/>
          <w:sz w:val="22"/>
          <w:szCs w:val="22"/>
          <w:lang w:bidi="th-TH"/>
        </w:rPr>
        <w:t>MaNoG</w:t>
      </w:r>
      <w:r w:rsidRPr="00443B40">
        <w:rPr>
          <w:rFonts w:ascii="Verdana" w:hAnsi="Verdana" w:cs="Arial"/>
          <w:b/>
          <w:bCs/>
          <w:sz w:val="22"/>
          <w:szCs w:val="22"/>
          <w:lang w:bidi="th-TH"/>
        </w:rPr>
        <w:t>)</w:t>
      </w:r>
    </w:p>
    <w:p w:rsidR="00A93BAD" w:rsidRPr="00443B40" w:rsidRDefault="00A93BAD" w:rsidP="007F4D6F">
      <w:pPr>
        <w:autoSpaceDE w:val="0"/>
        <w:autoSpaceDN w:val="0"/>
        <w:adjustRightInd w:val="0"/>
        <w:spacing w:before="240" w:line="260" w:lineRule="exact"/>
        <w:jc w:val="center"/>
        <w:rPr>
          <w:rFonts w:ascii="Verdana" w:hAnsi="Verdana" w:cs="Arial"/>
          <w:b/>
          <w:bCs/>
          <w:sz w:val="22"/>
          <w:szCs w:val="22"/>
        </w:rPr>
      </w:pPr>
      <w:r w:rsidRPr="00443B40">
        <w:rPr>
          <w:rFonts w:ascii="Verdana" w:hAnsi="Verdana" w:cs="Arial"/>
          <w:b/>
          <w:bCs/>
          <w:sz w:val="22"/>
          <w:szCs w:val="22"/>
        </w:rPr>
        <w:t xml:space="preserve">§ 38 </w:t>
      </w:r>
      <w:r w:rsidRPr="00443B40">
        <w:rPr>
          <w:rFonts w:ascii="Verdana" w:hAnsi="Verdana" w:cs="Arial"/>
          <w:b/>
          <w:bCs/>
          <w:sz w:val="22"/>
          <w:szCs w:val="22"/>
        </w:rPr>
        <w:br/>
        <w:t>Strafvorschriften</w:t>
      </w:r>
    </w:p>
    <w:p w:rsidR="002975F9" w:rsidRPr="00443B40" w:rsidRDefault="002975F9"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(1) Mit Freiheitsstrafe bis zu fünf Jahren oder mit Geldstrafe wird bestraft, wer</w:t>
      </w:r>
    </w:p>
    <w:p w:rsidR="00A93BAD" w:rsidRPr="00443B40" w:rsidRDefault="00AF3C5B"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w:t>
      </w:r>
      <w:r w:rsidR="00A93BAD" w:rsidRPr="00443B40">
        <w:rPr>
          <w:rFonts w:ascii="Verdana" w:hAnsi="Verdana" w:cs="Arial"/>
          <w:sz w:val="22"/>
          <w:szCs w:val="22"/>
        </w:rPr>
        <w:t>…</w:t>
      </w:r>
      <w:r w:rsidRPr="00443B40">
        <w:rPr>
          <w:rFonts w:ascii="Verdana" w:hAnsi="Verdana" w:cs="Arial"/>
          <w:sz w:val="22"/>
          <w:szCs w:val="22"/>
        </w:rPr>
        <w:t>)</w:t>
      </w:r>
    </w:p>
    <w:p w:rsidR="00A93BAD" w:rsidRPr="00443B40" w:rsidRDefault="00A93BAD"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(3) Ebenso wird bestraft, wer gegen die Verordnung (EU) Nr. 596/2014 des Europäischen</w:t>
      </w:r>
      <w:r w:rsidR="003F4266" w:rsidRPr="00443B40">
        <w:rPr>
          <w:rFonts w:ascii="Verdana" w:hAnsi="Verdana" w:cs="Arial"/>
          <w:sz w:val="22"/>
          <w:szCs w:val="22"/>
          <w:lang w:bidi="th-TH"/>
        </w:rPr>
        <w:t xml:space="preserve"> </w:t>
      </w:r>
      <w:r w:rsidRPr="00443B40">
        <w:rPr>
          <w:rFonts w:ascii="Verdana" w:hAnsi="Verdana" w:cs="Arial"/>
          <w:sz w:val="22"/>
          <w:szCs w:val="22"/>
          <w:lang w:bidi="th-TH"/>
        </w:rPr>
        <w:t>Parlaments und des Rates vom 16. April 2014 über Marktmissbrauch</w:t>
      </w:r>
      <w:r w:rsidR="003F4266" w:rsidRPr="00443B40">
        <w:rPr>
          <w:rFonts w:ascii="Verdana" w:hAnsi="Verdana" w:cs="Arial"/>
          <w:sz w:val="22"/>
          <w:szCs w:val="22"/>
          <w:lang w:bidi="th-TH"/>
        </w:rPr>
        <w:t xml:space="preserve"> </w:t>
      </w:r>
      <w:r w:rsidRPr="00443B40">
        <w:rPr>
          <w:rFonts w:ascii="Verdana" w:hAnsi="Verdana" w:cs="Arial"/>
          <w:sz w:val="22"/>
          <w:szCs w:val="22"/>
          <w:lang w:bidi="th-TH"/>
        </w:rPr>
        <w:t>(Marktmissbrauchsverordnung) und zur Aufhebung der Richtlinie 2003/6/EG des Europäischen</w:t>
      </w:r>
      <w:r w:rsidR="003F4266" w:rsidRPr="00443B40">
        <w:rPr>
          <w:rFonts w:ascii="Verdana" w:hAnsi="Verdana" w:cs="Arial"/>
          <w:sz w:val="22"/>
          <w:szCs w:val="22"/>
          <w:lang w:bidi="th-TH"/>
        </w:rPr>
        <w:t xml:space="preserve"> </w:t>
      </w:r>
      <w:r w:rsidRPr="00443B40">
        <w:rPr>
          <w:rFonts w:ascii="Verdana" w:hAnsi="Verdana" w:cs="Arial"/>
          <w:sz w:val="22"/>
          <w:szCs w:val="22"/>
          <w:lang w:bidi="th-TH"/>
        </w:rPr>
        <w:t>Parlaments und des Rates und der Richtlinien 2003/124/EG,</w:t>
      </w:r>
      <w:r w:rsidR="003F4266" w:rsidRPr="00443B40">
        <w:rPr>
          <w:rFonts w:ascii="Verdana" w:hAnsi="Verdana" w:cs="Arial"/>
          <w:sz w:val="22"/>
          <w:szCs w:val="22"/>
          <w:lang w:bidi="th-TH"/>
        </w:rPr>
        <w:t xml:space="preserve"> </w:t>
      </w:r>
      <w:r w:rsidRPr="00443B40">
        <w:rPr>
          <w:rFonts w:ascii="Verdana" w:hAnsi="Verdana" w:cs="Arial"/>
          <w:sz w:val="22"/>
          <w:szCs w:val="22"/>
          <w:lang w:bidi="th-TH"/>
        </w:rPr>
        <w:t>2003/125/EG und 2004/72/EG der Kommission (ABl. L 173 vom 12.6.2014, S. 1)</w:t>
      </w:r>
      <w:r w:rsidR="003F4266" w:rsidRPr="00443B40">
        <w:rPr>
          <w:rFonts w:ascii="Verdana" w:hAnsi="Verdana" w:cs="Arial"/>
          <w:sz w:val="22"/>
          <w:szCs w:val="22"/>
          <w:lang w:bidi="th-TH"/>
        </w:rPr>
        <w:t xml:space="preserve"> </w:t>
      </w:r>
      <w:r w:rsidRPr="00443B40">
        <w:rPr>
          <w:rFonts w:ascii="Verdana" w:hAnsi="Verdana" w:cs="Arial"/>
          <w:sz w:val="22"/>
          <w:szCs w:val="22"/>
          <w:lang w:bidi="th-TH"/>
        </w:rPr>
        <w:t>verstößt, indem er</w:t>
      </w:r>
    </w:p>
    <w:p w:rsidR="00A93BAD" w:rsidRPr="00443B40" w:rsidRDefault="00A93BAD"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1. entgegen Artikel 14 Buchstabe a ein Insidergeschäft tätigt,</w:t>
      </w:r>
    </w:p>
    <w:p w:rsidR="00A93BAD" w:rsidRPr="00443B40" w:rsidRDefault="00A93BAD"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2. entgegen Artikel 14 Buchstabe b einem Dritten empfiehlt, ein Insidergeschäft zu</w:t>
      </w:r>
      <w:r w:rsidR="003F4266" w:rsidRPr="00443B40">
        <w:rPr>
          <w:rFonts w:ascii="Verdana" w:hAnsi="Verdana" w:cs="Arial"/>
          <w:sz w:val="22"/>
          <w:szCs w:val="22"/>
          <w:lang w:bidi="th-TH"/>
        </w:rPr>
        <w:t xml:space="preserve"> </w:t>
      </w:r>
      <w:r w:rsidRPr="00443B40">
        <w:rPr>
          <w:rFonts w:ascii="Verdana" w:hAnsi="Verdana" w:cs="Arial"/>
          <w:sz w:val="22"/>
          <w:szCs w:val="22"/>
          <w:lang w:bidi="th-TH"/>
        </w:rPr>
        <w:t>tätigen, oder einen Dritten dazu anstiftet oder</w:t>
      </w:r>
    </w:p>
    <w:p w:rsidR="00A93BAD" w:rsidRPr="00443B40" w:rsidRDefault="00A93BAD"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3. entgegen Artikel 14 Buchstabe c eine Insiderinformation offenlegt.</w:t>
      </w:r>
    </w:p>
    <w:p w:rsidR="00A93BAD" w:rsidRPr="00443B40" w:rsidRDefault="00A93BAD"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(4) In den Fällen des Absatzes 1 Nummer 2</w:t>
      </w:r>
      <w:r w:rsidR="009F2EE7" w:rsidRPr="00443B40">
        <w:rPr>
          <w:rFonts w:ascii="Verdana" w:hAnsi="Verdana" w:cs="Arial"/>
          <w:sz w:val="22"/>
          <w:szCs w:val="22"/>
          <w:lang w:bidi="th-TH"/>
        </w:rPr>
        <w:t xml:space="preserve"> und 3</w:t>
      </w:r>
      <w:r w:rsidRPr="00443B40">
        <w:rPr>
          <w:rFonts w:ascii="Verdana" w:hAnsi="Verdana" w:cs="Arial"/>
          <w:sz w:val="22"/>
          <w:szCs w:val="22"/>
          <w:lang w:bidi="th-TH"/>
        </w:rPr>
        <w:t xml:space="preserve"> sowie der Absätze 2 und 3 ist</w:t>
      </w:r>
      <w:r w:rsidR="003F4266" w:rsidRPr="00443B40">
        <w:rPr>
          <w:rFonts w:ascii="Verdana" w:hAnsi="Verdana" w:cs="Arial"/>
          <w:sz w:val="22"/>
          <w:szCs w:val="22"/>
          <w:lang w:bidi="th-TH"/>
        </w:rPr>
        <w:t xml:space="preserve"> </w:t>
      </w:r>
      <w:r w:rsidRPr="00443B40">
        <w:rPr>
          <w:rFonts w:ascii="Verdana" w:hAnsi="Verdana" w:cs="Arial"/>
          <w:sz w:val="22"/>
          <w:szCs w:val="22"/>
          <w:lang w:bidi="th-TH"/>
        </w:rPr>
        <w:t>der Versuch strafbar.</w:t>
      </w:r>
    </w:p>
    <w:p w:rsidR="00A93BAD" w:rsidRPr="00443B40" w:rsidRDefault="00B43476"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w:t>
      </w:r>
      <w:r w:rsidR="00A93BAD" w:rsidRPr="00443B40">
        <w:rPr>
          <w:rFonts w:ascii="Verdana" w:hAnsi="Verdana" w:cs="Arial"/>
          <w:sz w:val="22"/>
          <w:szCs w:val="22"/>
          <w:lang w:bidi="th-TH"/>
        </w:rPr>
        <w:t>…</w:t>
      </w:r>
      <w:r w:rsidRPr="00443B40">
        <w:rPr>
          <w:rFonts w:ascii="Verdana" w:hAnsi="Verdana" w:cs="Arial"/>
          <w:sz w:val="22"/>
          <w:szCs w:val="22"/>
          <w:lang w:bidi="th-TH"/>
        </w:rPr>
        <w:t>)</w:t>
      </w:r>
    </w:p>
    <w:p w:rsidR="002975F9" w:rsidRPr="00443B40" w:rsidRDefault="002975F9" w:rsidP="007F4D6F">
      <w:pPr>
        <w:autoSpaceDE w:val="0"/>
        <w:autoSpaceDN w:val="0"/>
        <w:adjustRightInd w:val="0"/>
        <w:spacing w:before="240" w:line="260" w:lineRule="exact"/>
        <w:jc w:val="center"/>
        <w:rPr>
          <w:rFonts w:ascii="Verdana" w:hAnsi="Verdana" w:cs="Arial"/>
          <w:b/>
          <w:bCs/>
          <w:sz w:val="22"/>
          <w:szCs w:val="22"/>
        </w:rPr>
      </w:pPr>
      <w:r w:rsidRPr="00443B40">
        <w:rPr>
          <w:rFonts w:ascii="Verdana" w:hAnsi="Verdana" w:cs="Arial"/>
          <w:b/>
          <w:bCs/>
          <w:sz w:val="22"/>
          <w:szCs w:val="22"/>
        </w:rPr>
        <w:t xml:space="preserve">§ 39 </w:t>
      </w:r>
      <w:r w:rsidRPr="00443B40">
        <w:rPr>
          <w:rFonts w:ascii="Verdana" w:hAnsi="Verdana" w:cs="Arial"/>
          <w:b/>
          <w:bCs/>
          <w:sz w:val="22"/>
          <w:szCs w:val="22"/>
        </w:rPr>
        <w:br/>
        <w:t>Bußgeldvorschriften</w:t>
      </w:r>
    </w:p>
    <w:p w:rsidR="004D3CF7" w:rsidRPr="00443B40" w:rsidRDefault="002975F9"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w:t>
      </w:r>
      <w:r w:rsidR="004D3CF7" w:rsidRPr="00443B40">
        <w:rPr>
          <w:rFonts w:ascii="Verdana" w:hAnsi="Verdana" w:cs="Arial"/>
          <w:sz w:val="22"/>
          <w:szCs w:val="22"/>
        </w:rPr>
        <w:t>…</w:t>
      </w:r>
      <w:r w:rsidRPr="00443B40">
        <w:rPr>
          <w:rFonts w:ascii="Verdana" w:hAnsi="Verdana" w:cs="Arial"/>
          <w:sz w:val="22"/>
          <w:szCs w:val="22"/>
        </w:rPr>
        <w:t>)</w:t>
      </w:r>
    </w:p>
    <w:p w:rsidR="000A1305" w:rsidRPr="00443B40" w:rsidRDefault="000A1305"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(3b) Ordnungswidrig handelt, wer eine in § 38 Absatz 3 Nummer 1 bis 3 bezeichnete Handlung leichtfertig begeht.</w:t>
      </w:r>
    </w:p>
    <w:p w:rsidR="004700DE" w:rsidRPr="00443B40" w:rsidRDefault="004700DE"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w:t>
      </w:r>
    </w:p>
    <w:p w:rsidR="000A1305" w:rsidRPr="00443B40" w:rsidRDefault="000A1305"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 xml:space="preserve">(4a) Die Ordnungswidrigkeit kann in den Fällen der Absätze 3b </w:t>
      </w:r>
      <w:r w:rsidR="001F67CA" w:rsidRPr="00443B40">
        <w:rPr>
          <w:rFonts w:ascii="Verdana" w:hAnsi="Verdana" w:cs="Arial"/>
          <w:sz w:val="22"/>
          <w:szCs w:val="22"/>
        </w:rPr>
        <w:t>(…)</w:t>
      </w:r>
      <w:r w:rsidRPr="00443B40">
        <w:rPr>
          <w:rFonts w:ascii="Verdana" w:hAnsi="Verdana" w:cs="Arial"/>
          <w:sz w:val="22"/>
          <w:szCs w:val="22"/>
        </w:rPr>
        <w:t xml:space="preserve">mit einer Geldbuße bis zu fünf Millionen Euro, </w:t>
      </w:r>
      <w:r w:rsidR="001F67CA" w:rsidRPr="00443B40">
        <w:rPr>
          <w:rFonts w:ascii="Verdana" w:hAnsi="Verdana" w:cs="Arial"/>
          <w:sz w:val="22"/>
          <w:szCs w:val="22"/>
        </w:rPr>
        <w:t>(…)</w:t>
      </w:r>
      <w:r w:rsidRPr="00443B40">
        <w:rPr>
          <w:rFonts w:ascii="Verdana" w:hAnsi="Verdana" w:cs="Arial"/>
          <w:sz w:val="22"/>
          <w:szCs w:val="22"/>
        </w:rPr>
        <w:t xml:space="preserve"> Gegenüber einer juristischen Person oder Personenvereinigung kann über Satz 1 hinaus eine höhere Geldbuße verhängt werden; diese darf</w:t>
      </w:r>
    </w:p>
    <w:p w:rsidR="000A1305" w:rsidRPr="00443B40" w:rsidRDefault="000A1305"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lastRenderedPageBreak/>
        <w:t xml:space="preserve">1. </w:t>
      </w:r>
      <w:r w:rsidR="00CE73F8" w:rsidRPr="00443B40">
        <w:rPr>
          <w:rFonts w:ascii="Verdana" w:hAnsi="Verdana" w:cs="Arial"/>
          <w:sz w:val="22"/>
          <w:szCs w:val="22"/>
        </w:rPr>
        <w:t xml:space="preserve">in den Fällen der Absätze 3b </w:t>
      </w:r>
      <w:r w:rsidR="001F67CA" w:rsidRPr="00443B40">
        <w:rPr>
          <w:rFonts w:ascii="Verdana" w:hAnsi="Verdana" w:cs="Arial"/>
          <w:sz w:val="22"/>
          <w:szCs w:val="22"/>
        </w:rPr>
        <w:t>(…)</w:t>
      </w:r>
      <w:r w:rsidR="00CE73F8" w:rsidRPr="00443B40">
        <w:rPr>
          <w:rFonts w:ascii="Verdana" w:hAnsi="Verdana" w:cs="Arial"/>
          <w:sz w:val="22"/>
          <w:szCs w:val="22"/>
        </w:rPr>
        <w:t xml:space="preserve"> den höheren der Beträge von fünfzehn Millionen Euro und 15 Prozent des Gesamtumsatzes, den die juristische Person oder Personenvereinigung im der Behördenentscheidung vorausgegangenen Geschäftsjahr erzielt hat,</w:t>
      </w:r>
    </w:p>
    <w:p w:rsidR="000A1305" w:rsidRPr="00443B40" w:rsidRDefault="00CE73F8"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2. (…)</w:t>
      </w:r>
    </w:p>
    <w:p w:rsidR="00CE73F8" w:rsidRPr="00443B40" w:rsidRDefault="00CE73F8" w:rsidP="007F4D6F">
      <w:pPr>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nicht überschreiten. Über die in den Sätzen 1 und 2 genannten Beträge hinaus kann die Ordnungswidrigkeit mit einer Geldbuße bis zum Dreifachen des aus dem Verstoß gezogenen wirtschaftlichen Vorteils geahndet werden. Der wirtschaftliche Vorteil umfasst erzielte Gewinne und vermiedene Verluste und kann geschätzt werden.</w:t>
      </w:r>
    </w:p>
    <w:p w:rsidR="00724B9A" w:rsidRPr="00443B40" w:rsidRDefault="00724B9A" w:rsidP="007F4D6F">
      <w:pPr>
        <w:keepNext/>
        <w:autoSpaceDE w:val="0"/>
        <w:autoSpaceDN w:val="0"/>
        <w:adjustRightInd w:val="0"/>
        <w:spacing w:before="240" w:line="260" w:lineRule="exact"/>
        <w:jc w:val="center"/>
        <w:rPr>
          <w:rFonts w:ascii="Verdana" w:hAnsi="Verdana" w:cs="Arial"/>
          <w:b/>
          <w:bCs/>
          <w:sz w:val="22"/>
          <w:szCs w:val="22"/>
          <w:lang w:bidi="th-TH"/>
        </w:rPr>
      </w:pPr>
      <w:r w:rsidRPr="00443B40">
        <w:rPr>
          <w:rFonts w:ascii="Verdana" w:hAnsi="Verdana" w:cs="Arial"/>
          <w:b/>
          <w:bCs/>
          <w:sz w:val="22"/>
          <w:szCs w:val="22"/>
          <w:lang w:bidi="th-TH"/>
        </w:rPr>
        <w:t>§ 40d</w:t>
      </w:r>
    </w:p>
    <w:p w:rsidR="00724B9A" w:rsidRPr="00443B40" w:rsidRDefault="00724B9A" w:rsidP="00FA4072">
      <w:pPr>
        <w:keepNext/>
        <w:autoSpaceDE w:val="0"/>
        <w:autoSpaceDN w:val="0"/>
        <w:adjustRightInd w:val="0"/>
        <w:spacing w:before="240" w:line="260" w:lineRule="exact"/>
        <w:jc w:val="center"/>
        <w:rPr>
          <w:rFonts w:ascii="Verdana" w:hAnsi="Verdana" w:cs="Arial"/>
          <w:b/>
          <w:bCs/>
          <w:sz w:val="22"/>
          <w:szCs w:val="22"/>
          <w:lang w:bidi="th-TH"/>
        </w:rPr>
      </w:pPr>
      <w:r w:rsidRPr="00443B40">
        <w:rPr>
          <w:rFonts w:ascii="Verdana" w:hAnsi="Verdana" w:cs="Arial"/>
          <w:b/>
          <w:bCs/>
          <w:sz w:val="22"/>
          <w:szCs w:val="22"/>
          <w:lang w:bidi="th-TH"/>
        </w:rPr>
        <w:t>Bekanntmachung von Maßnahmen und Sanktionen wegen Verstößen gegen die Verordnung</w:t>
      </w:r>
      <w:r w:rsidR="00FA4072" w:rsidRPr="00443B40">
        <w:rPr>
          <w:rFonts w:ascii="Verdana" w:hAnsi="Verdana" w:cs="Arial"/>
          <w:b/>
          <w:bCs/>
          <w:sz w:val="22"/>
          <w:szCs w:val="22"/>
          <w:lang w:bidi="th-TH"/>
        </w:rPr>
        <w:br/>
      </w:r>
      <w:r w:rsidRPr="00443B40">
        <w:rPr>
          <w:rFonts w:ascii="Verdana" w:hAnsi="Verdana" w:cs="Arial"/>
          <w:b/>
          <w:bCs/>
          <w:sz w:val="22"/>
          <w:szCs w:val="22"/>
          <w:lang w:bidi="th-TH"/>
        </w:rPr>
        <w:t>(EU) Nr. 596/2014</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(1) Die Bundesanstalt macht Entscheidungen über Maßnahmen und Sanktionen,</w:t>
      </w:r>
      <w:r w:rsidR="00A32214" w:rsidRPr="00443B40">
        <w:rPr>
          <w:rFonts w:ascii="Verdana" w:hAnsi="Verdana" w:cs="Arial"/>
          <w:sz w:val="22"/>
          <w:szCs w:val="22"/>
          <w:lang w:bidi="th-TH"/>
        </w:rPr>
        <w:t xml:space="preserve"> </w:t>
      </w:r>
      <w:r w:rsidRPr="00443B40">
        <w:rPr>
          <w:rFonts w:ascii="Verdana" w:hAnsi="Verdana" w:cs="Arial"/>
          <w:sz w:val="22"/>
          <w:szCs w:val="22"/>
          <w:lang w:bidi="th-TH"/>
        </w:rPr>
        <w:t>die wegen Verstößen nach Artikel 14, 15, 16 Absatz 1 und 2, Artikel 17 Absatz</w:t>
      </w:r>
      <w:r w:rsidR="00A32214" w:rsidRPr="00443B40">
        <w:rPr>
          <w:rFonts w:ascii="Verdana" w:hAnsi="Verdana" w:cs="Arial"/>
          <w:sz w:val="22"/>
          <w:szCs w:val="22"/>
          <w:lang w:bidi="th-TH"/>
        </w:rPr>
        <w:t xml:space="preserve"> </w:t>
      </w:r>
      <w:r w:rsidRPr="00443B40">
        <w:rPr>
          <w:rFonts w:ascii="Verdana" w:hAnsi="Verdana" w:cs="Arial"/>
          <w:sz w:val="22"/>
          <w:szCs w:val="22"/>
          <w:lang w:bidi="th-TH"/>
        </w:rPr>
        <w:t>1, 2, 4, 5 und 8, Artikel 18 Absatz 1 bis 6, Artikel 19 Absatz 1, 2, 3, 5, 6, 7 und 11 und</w:t>
      </w:r>
      <w:r w:rsidR="00A32214" w:rsidRPr="00443B40">
        <w:rPr>
          <w:rFonts w:ascii="Verdana" w:hAnsi="Verdana" w:cs="Arial"/>
          <w:sz w:val="22"/>
          <w:szCs w:val="22"/>
          <w:lang w:bidi="th-TH"/>
        </w:rPr>
        <w:t xml:space="preserve"> </w:t>
      </w:r>
      <w:r w:rsidRPr="00443B40">
        <w:rPr>
          <w:rFonts w:ascii="Verdana" w:hAnsi="Verdana" w:cs="Arial"/>
          <w:sz w:val="22"/>
          <w:szCs w:val="22"/>
          <w:lang w:bidi="th-TH"/>
        </w:rPr>
        <w:t>Artikel 20 Absatz 1 der Verordnung (EU) Nr. 596/2014 erlassen wurden, unverzüglich</w:t>
      </w:r>
      <w:r w:rsidR="00A32214" w:rsidRPr="00443B40">
        <w:rPr>
          <w:rFonts w:ascii="Verdana" w:hAnsi="Verdana" w:cs="Arial"/>
          <w:sz w:val="22"/>
          <w:szCs w:val="22"/>
          <w:lang w:bidi="th-TH"/>
        </w:rPr>
        <w:t xml:space="preserve"> </w:t>
      </w:r>
      <w:r w:rsidRPr="00443B40">
        <w:rPr>
          <w:rFonts w:ascii="Verdana" w:hAnsi="Verdana" w:cs="Arial"/>
          <w:sz w:val="22"/>
          <w:szCs w:val="22"/>
          <w:lang w:bidi="th-TH"/>
        </w:rPr>
        <w:t>nach Unterrichtung der natürlichen oder juristischen Person, gegen die die Maßnahme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oder Sanktion verhängt wurde, auf ihrer Internetseite bekannt. Dies gilt nicht für</w:t>
      </w:r>
      <w:r w:rsidR="00A32214" w:rsidRPr="00443B40">
        <w:rPr>
          <w:rFonts w:ascii="Verdana" w:hAnsi="Verdana" w:cs="Arial"/>
          <w:sz w:val="22"/>
          <w:szCs w:val="22"/>
          <w:lang w:bidi="th-TH"/>
        </w:rPr>
        <w:t xml:space="preserve"> </w:t>
      </w:r>
      <w:r w:rsidRPr="00443B40">
        <w:rPr>
          <w:rFonts w:ascii="Verdana" w:hAnsi="Verdana" w:cs="Arial"/>
          <w:sz w:val="22"/>
          <w:szCs w:val="22"/>
          <w:lang w:bidi="th-TH"/>
        </w:rPr>
        <w:t>Entscheidungen über Ermittlungsmaßnahmen.</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(2) In der Bekanntmachung benennt die Bundesanstalt die Vorschrift, gegen die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verstoßen wurde, und die für den Verstoß verantwortliche natürliche oder juristische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Person oder Personenvereinigung.</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(3) Ist die Bekanntmachung der Identität einer von der Entscheidung betroffenen</w:t>
      </w:r>
      <w:r w:rsidR="00A32214" w:rsidRPr="00443B40">
        <w:rPr>
          <w:rFonts w:ascii="Verdana" w:hAnsi="Verdana" w:cs="Arial"/>
          <w:sz w:val="22"/>
          <w:szCs w:val="22"/>
          <w:lang w:bidi="th-TH"/>
        </w:rPr>
        <w:t xml:space="preserve"> </w:t>
      </w:r>
      <w:r w:rsidRPr="00443B40">
        <w:rPr>
          <w:rFonts w:ascii="Verdana" w:hAnsi="Verdana" w:cs="Arial"/>
          <w:sz w:val="22"/>
          <w:szCs w:val="22"/>
          <w:lang w:bidi="th-TH"/>
        </w:rPr>
        <w:t>juristischen Person oder der personenbezogenen Daten einer natürlichen Person unverhältnismäßig</w:t>
      </w:r>
      <w:r w:rsidR="00A32214" w:rsidRPr="00443B40">
        <w:rPr>
          <w:rFonts w:ascii="Verdana" w:hAnsi="Verdana" w:cs="Arial"/>
          <w:sz w:val="22"/>
          <w:szCs w:val="22"/>
          <w:lang w:bidi="th-TH"/>
        </w:rPr>
        <w:t xml:space="preserve"> </w:t>
      </w:r>
      <w:r w:rsidRPr="00443B40">
        <w:rPr>
          <w:rFonts w:ascii="Verdana" w:hAnsi="Verdana" w:cs="Arial"/>
          <w:sz w:val="22"/>
          <w:szCs w:val="22"/>
          <w:lang w:bidi="th-TH"/>
        </w:rPr>
        <w:t>oder würde die Bekanntmachung laufende Ermittlungen oder die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Stabilität der Finanzmärkte gefährden, so</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1. schiebt die Bundesanstalt die Bekanntmachung der Entscheidung auf, bis die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Gründe für das Aufschieben weggefallen sind,</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 xml:space="preserve">2. macht die </w:t>
      </w:r>
      <w:r w:rsidR="00D4134C" w:rsidRPr="00443B40">
        <w:rPr>
          <w:rFonts w:ascii="Verdana" w:hAnsi="Verdana" w:cs="Arial"/>
          <w:sz w:val="22"/>
          <w:szCs w:val="22"/>
          <w:lang w:bidi="th-TH"/>
        </w:rPr>
        <w:t xml:space="preserve">Bundesanstalt die </w:t>
      </w:r>
      <w:r w:rsidRPr="00443B40">
        <w:rPr>
          <w:rFonts w:ascii="Verdana" w:hAnsi="Verdana" w:cs="Arial"/>
          <w:sz w:val="22"/>
          <w:szCs w:val="22"/>
          <w:lang w:bidi="th-TH"/>
        </w:rPr>
        <w:t>Entscheidung ohne Nennung der Identität oder der personenbezogenen</w:t>
      </w:r>
      <w:r w:rsidR="00A32214" w:rsidRPr="00443B40">
        <w:rPr>
          <w:rFonts w:ascii="Verdana" w:hAnsi="Verdana" w:cs="Arial"/>
          <w:sz w:val="22"/>
          <w:szCs w:val="22"/>
          <w:lang w:bidi="th-TH"/>
        </w:rPr>
        <w:t xml:space="preserve"> </w:t>
      </w:r>
      <w:r w:rsidRPr="00443B40">
        <w:rPr>
          <w:rFonts w:ascii="Verdana" w:hAnsi="Verdana" w:cs="Arial"/>
          <w:sz w:val="22"/>
          <w:szCs w:val="22"/>
          <w:lang w:bidi="th-TH"/>
        </w:rPr>
        <w:t>Daten bekannt, wenn hierdurch ein wirksamer Schutz der Identität oder der</w:t>
      </w:r>
      <w:r w:rsidR="00A32214" w:rsidRPr="00443B40">
        <w:rPr>
          <w:rFonts w:ascii="Verdana" w:hAnsi="Verdana" w:cs="Arial"/>
          <w:sz w:val="22"/>
          <w:szCs w:val="22"/>
          <w:lang w:bidi="th-TH"/>
        </w:rPr>
        <w:t xml:space="preserve"> </w:t>
      </w:r>
      <w:r w:rsidRPr="00443B40">
        <w:rPr>
          <w:rFonts w:ascii="Verdana" w:hAnsi="Verdana" w:cs="Arial"/>
          <w:sz w:val="22"/>
          <w:szCs w:val="22"/>
          <w:lang w:bidi="th-TH"/>
        </w:rPr>
        <w:t>betreffenden personenbezogenen Daten gewährleistet ist oder</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 xml:space="preserve">3. macht die </w:t>
      </w:r>
      <w:r w:rsidR="002975F9" w:rsidRPr="00443B40">
        <w:rPr>
          <w:rFonts w:ascii="Verdana" w:hAnsi="Verdana" w:cs="Arial"/>
          <w:sz w:val="22"/>
          <w:szCs w:val="22"/>
          <w:lang w:bidi="th-TH"/>
        </w:rPr>
        <w:t xml:space="preserve">Bundesanstalt die </w:t>
      </w:r>
      <w:r w:rsidRPr="00443B40">
        <w:rPr>
          <w:rFonts w:ascii="Verdana" w:hAnsi="Verdana" w:cs="Arial"/>
          <w:sz w:val="22"/>
          <w:szCs w:val="22"/>
          <w:lang w:bidi="th-TH"/>
        </w:rPr>
        <w:t>Entscheidung nicht bekannt, wenn eine Bekanntmachung gemäß den</w:t>
      </w:r>
      <w:r w:rsidR="00A32214" w:rsidRPr="00443B40">
        <w:rPr>
          <w:rFonts w:ascii="Verdana" w:hAnsi="Verdana" w:cs="Arial"/>
          <w:sz w:val="22"/>
          <w:szCs w:val="22"/>
          <w:lang w:bidi="th-TH"/>
        </w:rPr>
        <w:t xml:space="preserve"> </w:t>
      </w:r>
      <w:r w:rsidRPr="00443B40">
        <w:rPr>
          <w:rFonts w:ascii="Verdana" w:hAnsi="Verdana" w:cs="Arial"/>
          <w:sz w:val="22"/>
          <w:szCs w:val="22"/>
          <w:lang w:bidi="th-TH"/>
        </w:rPr>
        <w:t>Nummern 1 und 2 nicht ausreichend wäre, um sicherzustellen, dass</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a) die Stabilität der Finanzmärkte nicht gefährdet wird oder</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b) die Verhältnismäßigkeit der Bekanntmachung gewahrt bleibt.</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lastRenderedPageBreak/>
        <w:t>Im Falle des Satzes 1 Nummer 2 kann die Bundesanstalt die Bekanntmachung der</w:t>
      </w:r>
      <w:r w:rsidR="00A32214" w:rsidRPr="00443B40">
        <w:rPr>
          <w:rFonts w:ascii="Verdana" w:hAnsi="Verdana" w:cs="Arial"/>
          <w:sz w:val="22"/>
          <w:szCs w:val="22"/>
          <w:lang w:bidi="th-TH"/>
        </w:rPr>
        <w:t xml:space="preserve"> </w:t>
      </w:r>
      <w:r w:rsidRPr="00443B40">
        <w:rPr>
          <w:rFonts w:ascii="Verdana" w:hAnsi="Verdana" w:cs="Arial"/>
          <w:sz w:val="22"/>
          <w:szCs w:val="22"/>
          <w:lang w:bidi="th-TH"/>
        </w:rPr>
        <w:t>Identität oder der personenbezogenen Daten nachholen, wenn die Gründe für die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anonymisierte Bekanntmachung entfallen sind.</w:t>
      </w:r>
    </w:p>
    <w:p w:rsidR="00724B9A" w:rsidRPr="00443B40"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(4) Bei nicht bestands- oder nicht rechtskräftigen Entscheidungen fügt die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Bundesanstalt</w:t>
      </w:r>
      <w:r w:rsidR="00A32214" w:rsidRPr="00443B40">
        <w:rPr>
          <w:rFonts w:ascii="Verdana" w:hAnsi="Verdana" w:cs="Arial"/>
          <w:sz w:val="22"/>
          <w:szCs w:val="22"/>
          <w:lang w:bidi="th-TH"/>
        </w:rPr>
        <w:t xml:space="preserve"> </w:t>
      </w:r>
      <w:r w:rsidRPr="00443B40">
        <w:rPr>
          <w:rFonts w:ascii="Verdana" w:hAnsi="Verdana" w:cs="Arial"/>
          <w:sz w:val="22"/>
          <w:szCs w:val="22"/>
          <w:lang w:bidi="th-TH"/>
        </w:rPr>
        <w:t>einen entsprechenden Hinweis hinzu. Wird gegen die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bekanntzumachende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Entscheidung ein Rechtsbehelf eingelegt, so ergänzt die Bundesanstalt die Bekanntmachung</w:t>
      </w:r>
      <w:r w:rsidR="00A32214" w:rsidRPr="00443B40">
        <w:rPr>
          <w:rFonts w:ascii="Verdana" w:hAnsi="Verdana" w:cs="Arial"/>
          <w:sz w:val="22"/>
          <w:szCs w:val="22"/>
          <w:lang w:bidi="th-TH"/>
        </w:rPr>
        <w:t xml:space="preserve"> </w:t>
      </w:r>
      <w:r w:rsidRPr="00443B40">
        <w:rPr>
          <w:rFonts w:ascii="Verdana" w:hAnsi="Verdana" w:cs="Arial"/>
          <w:sz w:val="22"/>
          <w:szCs w:val="22"/>
          <w:lang w:bidi="th-TH"/>
        </w:rPr>
        <w:t>unverzüglich um einen Hinweis auf den Rechtsbehelf sowie um alle</w:t>
      </w:r>
      <w:r w:rsidR="00A32214" w:rsidRPr="00443B40">
        <w:rPr>
          <w:rFonts w:ascii="Verdana" w:hAnsi="Verdana" w:cs="Arial"/>
          <w:sz w:val="22"/>
          <w:szCs w:val="22"/>
          <w:lang w:bidi="th-TH"/>
        </w:rPr>
        <w:t xml:space="preserve"> </w:t>
      </w:r>
      <w:r w:rsidRPr="00443B40">
        <w:rPr>
          <w:rFonts w:ascii="Verdana" w:hAnsi="Verdana" w:cs="Arial"/>
          <w:sz w:val="22"/>
          <w:szCs w:val="22"/>
          <w:lang w:bidi="th-TH"/>
        </w:rPr>
        <w:t>weiteren Informationen über das Ergebnis des Rechtsbehelfsverfahrens.</w:t>
      </w:r>
    </w:p>
    <w:p w:rsidR="006E41DA" w:rsidRDefault="00724B9A" w:rsidP="007F4D6F">
      <w:pPr>
        <w:autoSpaceDE w:val="0"/>
        <w:autoSpaceDN w:val="0"/>
        <w:adjustRightInd w:val="0"/>
        <w:spacing w:before="240" w:line="260" w:lineRule="exact"/>
        <w:jc w:val="both"/>
        <w:rPr>
          <w:rFonts w:ascii="Verdana" w:hAnsi="Verdana" w:cs="Arial"/>
          <w:sz w:val="22"/>
          <w:szCs w:val="22"/>
          <w:lang w:bidi="th-TH"/>
        </w:rPr>
      </w:pPr>
      <w:r w:rsidRPr="00443B40">
        <w:rPr>
          <w:rFonts w:ascii="Verdana" w:hAnsi="Verdana" w:cs="Arial"/>
          <w:sz w:val="22"/>
          <w:szCs w:val="22"/>
          <w:lang w:bidi="th-TH"/>
        </w:rPr>
        <w:t>(5) Eine Bekanntmachung nach Absatz 1 ist fünf Jahre nach ihrer Bekanntmachung</w:t>
      </w:r>
      <w:r w:rsidR="00A32214" w:rsidRPr="00443B40">
        <w:rPr>
          <w:rFonts w:ascii="Verdana" w:hAnsi="Verdana" w:cs="Arial"/>
          <w:sz w:val="22"/>
          <w:szCs w:val="22"/>
          <w:lang w:bidi="th-TH"/>
        </w:rPr>
        <w:t xml:space="preserve"> </w:t>
      </w:r>
      <w:r w:rsidRPr="00443B40">
        <w:rPr>
          <w:rFonts w:ascii="Verdana" w:hAnsi="Verdana" w:cs="Arial"/>
          <w:sz w:val="22"/>
          <w:szCs w:val="22"/>
          <w:lang w:bidi="th-TH"/>
        </w:rPr>
        <w:t>zu löschen. Abweichend von Satz 1 sind personenbezogene Daten zu löschen,</w:t>
      </w:r>
      <w:r w:rsidR="00A32214" w:rsidRPr="00443B40">
        <w:rPr>
          <w:rFonts w:ascii="Verdana" w:hAnsi="Verdana" w:cs="Arial"/>
          <w:sz w:val="22"/>
          <w:szCs w:val="22"/>
          <w:lang w:bidi="th-TH"/>
        </w:rPr>
        <w:t xml:space="preserve"> </w:t>
      </w:r>
      <w:r w:rsidRPr="00443B40">
        <w:rPr>
          <w:rFonts w:ascii="Verdana" w:hAnsi="Verdana" w:cs="Arial"/>
          <w:sz w:val="22"/>
          <w:szCs w:val="22"/>
          <w:lang w:bidi="th-TH"/>
        </w:rPr>
        <w:t>sobald ihre Bekanntmachung nicht mehr erforderlich ist.“</w:t>
      </w:r>
    </w:p>
    <w:p w:rsidR="00F60888" w:rsidRPr="00443B40" w:rsidRDefault="00F60888" w:rsidP="007F4D6F">
      <w:pPr>
        <w:autoSpaceDE w:val="0"/>
        <w:autoSpaceDN w:val="0"/>
        <w:adjustRightInd w:val="0"/>
        <w:spacing w:before="240" w:line="260" w:lineRule="exact"/>
        <w:jc w:val="both"/>
        <w:rPr>
          <w:rFonts w:ascii="Verdana" w:hAnsi="Verdana" w:cs="Arial"/>
          <w:sz w:val="22"/>
          <w:szCs w:val="22"/>
        </w:rPr>
      </w:pP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____________________________________________________</w:t>
      </w: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(Ort, Datum)</w:t>
      </w: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____________________________________________________</w:t>
      </w:r>
    </w:p>
    <w:p w:rsidR="006E41DA" w:rsidRPr="00443B40" w:rsidRDefault="006E41DA" w:rsidP="007F4D6F">
      <w:pPr>
        <w:keepNext/>
        <w:autoSpaceDE w:val="0"/>
        <w:autoSpaceDN w:val="0"/>
        <w:adjustRightInd w:val="0"/>
        <w:spacing w:before="240" w:line="260" w:lineRule="exact"/>
        <w:jc w:val="both"/>
        <w:rPr>
          <w:rFonts w:ascii="Verdana" w:hAnsi="Verdana" w:cs="Arial"/>
          <w:sz w:val="22"/>
          <w:szCs w:val="22"/>
        </w:rPr>
      </w:pPr>
      <w:r w:rsidRPr="00443B40">
        <w:rPr>
          <w:rFonts w:ascii="Verdana" w:hAnsi="Verdana" w:cs="Arial"/>
          <w:sz w:val="22"/>
          <w:szCs w:val="22"/>
        </w:rPr>
        <w:t>(Unterschrift)</w:t>
      </w:r>
    </w:p>
    <w:sectPr w:rsidR="006E41DA" w:rsidRPr="00443B40">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3B" w:rsidRDefault="008B453B">
      <w:r>
        <w:separator/>
      </w:r>
    </w:p>
  </w:endnote>
  <w:endnote w:type="continuationSeparator" w:id="0">
    <w:p w:rsidR="008B453B" w:rsidRDefault="008B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DA" w:rsidRDefault="006E41D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21164F">
      <w:rPr>
        <w:rStyle w:val="Seitenzahl"/>
      </w:rPr>
      <w:fldChar w:fldCharType="separate"/>
    </w:r>
    <w:r w:rsidR="002E0032">
      <w:rPr>
        <w:rStyle w:val="Seitenzahl"/>
        <w:noProof/>
      </w:rPr>
      <w:t>8</w:t>
    </w:r>
    <w:r>
      <w:rPr>
        <w:rStyle w:val="Seitenzahl"/>
      </w:rPr>
      <w:fldChar w:fldCharType="end"/>
    </w:r>
  </w:p>
  <w:p w:rsidR="006E41DA" w:rsidRDefault="006E41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DA" w:rsidRDefault="00965AE7">
    <w:pPr>
      <w:pStyle w:val="Fuzeile"/>
      <w:framePr w:wrap="around" w:vAnchor="text" w:hAnchor="margin" w:xAlign="center" w:y="1"/>
      <w:rPr>
        <w:rStyle w:val="Seitenzahl"/>
        <w:rFonts w:ascii="Arial" w:hAnsi="Arial" w:cs="Arial"/>
        <w:sz w:val="20"/>
      </w:rPr>
    </w:pPr>
    <w:r w:rsidRPr="00965AE7">
      <w:rPr>
        <w:rStyle w:val="Seitenzahl"/>
        <w:rFonts w:ascii="Arial" w:hAnsi="Arial" w:cs="Arial"/>
        <w:sz w:val="20"/>
      </w:rPr>
      <w:t xml:space="preserve">Seite </w:t>
    </w:r>
    <w:r w:rsidRPr="00965AE7">
      <w:rPr>
        <w:rStyle w:val="Seitenzahl"/>
        <w:rFonts w:ascii="Arial" w:hAnsi="Arial" w:cs="Arial"/>
        <w:bCs/>
        <w:sz w:val="20"/>
      </w:rPr>
      <w:fldChar w:fldCharType="begin"/>
    </w:r>
    <w:r w:rsidRPr="00965AE7">
      <w:rPr>
        <w:rStyle w:val="Seitenzahl"/>
        <w:rFonts w:ascii="Arial" w:hAnsi="Arial" w:cs="Arial"/>
        <w:bCs/>
        <w:sz w:val="20"/>
      </w:rPr>
      <w:instrText>PAGE  \* Arabic  \* MERGEFORMAT</w:instrText>
    </w:r>
    <w:r w:rsidRPr="00965AE7">
      <w:rPr>
        <w:rStyle w:val="Seitenzahl"/>
        <w:rFonts w:ascii="Arial" w:hAnsi="Arial" w:cs="Arial"/>
        <w:bCs/>
        <w:sz w:val="20"/>
      </w:rPr>
      <w:fldChar w:fldCharType="separate"/>
    </w:r>
    <w:r w:rsidR="00A475F1">
      <w:rPr>
        <w:rStyle w:val="Seitenzahl"/>
        <w:rFonts w:ascii="Arial" w:hAnsi="Arial" w:cs="Arial"/>
        <w:bCs/>
        <w:noProof/>
        <w:sz w:val="20"/>
      </w:rPr>
      <w:t>6</w:t>
    </w:r>
    <w:r w:rsidRPr="00965AE7">
      <w:rPr>
        <w:rStyle w:val="Seitenzahl"/>
        <w:rFonts w:ascii="Arial" w:hAnsi="Arial" w:cs="Arial"/>
        <w:bCs/>
        <w:sz w:val="20"/>
      </w:rPr>
      <w:fldChar w:fldCharType="end"/>
    </w:r>
    <w:r w:rsidRPr="00965AE7">
      <w:rPr>
        <w:rStyle w:val="Seitenzahl"/>
        <w:rFonts w:ascii="Arial" w:hAnsi="Arial" w:cs="Arial"/>
        <w:sz w:val="20"/>
      </w:rPr>
      <w:t xml:space="preserve"> von </w:t>
    </w:r>
    <w:r w:rsidRPr="00965AE7">
      <w:rPr>
        <w:rStyle w:val="Seitenzahl"/>
        <w:rFonts w:ascii="Arial" w:hAnsi="Arial" w:cs="Arial"/>
        <w:bCs/>
        <w:sz w:val="20"/>
      </w:rPr>
      <w:fldChar w:fldCharType="begin"/>
    </w:r>
    <w:r w:rsidRPr="00965AE7">
      <w:rPr>
        <w:rStyle w:val="Seitenzahl"/>
        <w:rFonts w:ascii="Arial" w:hAnsi="Arial" w:cs="Arial"/>
        <w:bCs/>
        <w:sz w:val="20"/>
      </w:rPr>
      <w:instrText>NUMPAGES  \* Arabic  \* MERGEFORMAT</w:instrText>
    </w:r>
    <w:r w:rsidRPr="00965AE7">
      <w:rPr>
        <w:rStyle w:val="Seitenzahl"/>
        <w:rFonts w:ascii="Arial" w:hAnsi="Arial" w:cs="Arial"/>
        <w:bCs/>
        <w:sz w:val="20"/>
      </w:rPr>
      <w:fldChar w:fldCharType="separate"/>
    </w:r>
    <w:r w:rsidR="00A475F1">
      <w:rPr>
        <w:rStyle w:val="Seitenzahl"/>
        <w:rFonts w:ascii="Arial" w:hAnsi="Arial" w:cs="Arial"/>
        <w:bCs/>
        <w:noProof/>
        <w:sz w:val="20"/>
      </w:rPr>
      <w:t>8</w:t>
    </w:r>
    <w:r w:rsidRPr="00965AE7">
      <w:rPr>
        <w:rStyle w:val="Seitenzahl"/>
        <w:rFonts w:ascii="Arial" w:hAnsi="Arial" w:cs="Arial"/>
        <w:bCs/>
        <w:sz w:val="20"/>
      </w:rPr>
      <w:fldChar w:fldCharType="end"/>
    </w:r>
  </w:p>
  <w:p w:rsidR="002E0032" w:rsidRDefault="002E0032" w:rsidP="000F38F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2" w:rsidRDefault="00FA40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3B" w:rsidRDefault="008B453B">
      <w:r>
        <w:separator/>
      </w:r>
    </w:p>
  </w:footnote>
  <w:footnote w:type="continuationSeparator" w:id="0">
    <w:p w:rsidR="008B453B" w:rsidRDefault="008B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2" w:rsidRDefault="00FA40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2" w:rsidRDefault="00FA407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72" w:rsidRDefault="00FA40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BA4"/>
    <w:multiLevelType w:val="hybridMultilevel"/>
    <w:tmpl w:val="9C6204BA"/>
    <w:lvl w:ilvl="0" w:tplc="01BE5634">
      <w:start w:val="1"/>
      <w:numFmt w:val="bullet"/>
      <w:lvlText w:val=""/>
      <w:lvlJc w:val="left"/>
      <w:pPr>
        <w:tabs>
          <w:tab w:val="num" w:pos="1134"/>
        </w:tabs>
        <w:ind w:left="1134" w:hanging="567"/>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9423395"/>
    <w:multiLevelType w:val="hybridMultilevel"/>
    <w:tmpl w:val="1BA04788"/>
    <w:lvl w:ilvl="0" w:tplc="848C4F9A">
      <w:start w:val="4"/>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C52734E"/>
    <w:multiLevelType w:val="hybridMultilevel"/>
    <w:tmpl w:val="A4CA6C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2A4705"/>
    <w:multiLevelType w:val="hybridMultilevel"/>
    <w:tmpl w:val="86584AAC"/>
    <w:lvl w:ilvl="0" w:tplc="9BBAA22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4306C4"/>
    <w:multiLevelType w:val="hybridMultilevel"/>
    <w:tmpl w:val="48B22216"/>
    <w:lvl w:ilvl="0" w:tplc="07A8F1B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19"/>
    <w:rsid w:val="000045BE"/>
    <w:rsid w:val="00006E49"/>
    <w:rsid w:val="000204EA"/>
    <w:rsid w:val="00024A75"/>
    <w:rsid w:val="000267BB"/>
    <w:rsid w:val="00037296"/>
    <w:rsid w:val="00044323"/>
    <w:rsid w:val="000640FC"/>
    <w:rsid w:val="000A1305"/>
    <w:rsid w:val="000A4E02"/>
    <w:rsid w:val="000C69FD"/>
    <w:rsid w:val="000E3552"/>
    <w:rsid w:val="000E58FD"/>
    <w:rsid w:val="000F38F9"/>
    <w:rsid w:val="00105998"/>
    <w:rsid w:val="00171880"/>
    <w:rsid w:val="00182929"/>
    <w:rsid w:val="00182FBC"/>
    <w:rsid w:val="001A23F2"/>
    <w:rsid w:val="001A624D"/>
    <w:rsid w:val="001B3D31"/>
    <w:rsid w:val="001D2A4E"/>
    <w:rsid w:val="001E0EF9"/>
    <w:rsid w:val="001E287F"/>
    <w:rsid w:val="001E6E12"/>
    <w:rsid w:val="001F67CA"/>
    <w:rsid w:val="00205E6C"/>
    <w:rsid w:val="00207632"/>
    <w:rsid w:val="0021164F"/>
    <w:rsid w:val="0024298D"/>
    <w:rsid w:val="00244A59"/>
    <w:rsid w:val="00294D61"/>
    <w:rsid w:val="002975F9"/>
    <w:rsid w:val="002B5C29"/>
    <w:rsid w:val="002C0A75"/>
    <w:rsid w:val="002E0032"/>
    <w:rsid w:val="00300C7A"/>
    <w:rsid w:val="003042EC"/>
    <w:rsid w:val="00320FCC"/>
    <w:rsid w:val="00324400"/>
    <w:rsid w:val="003A2C73"/>
    <w:rsid w:val="003A5E19"/>
    <w:rsid w:val="003B1AC5"/>
    <w:rsid w:val="003D20C9"/>
    <w:rsid w:val="003E533B"/>
    <w:rsid w:val="003F2295"/>
    <w:rsid w:val="003F3405"/>
    <w:rsid w:val="003F4266"/>
    <w:rsid w:val="00443B40"/>
    <w:rsid w:val="0044464B"/>
    <w:rsid w:val="00444D90"/>
    <w:rsid w:val="004700DE"/>
    <w:rsid w:val="004743E4"/>
    <w:rsid w:val="00476F1D"/>
    <w:rsid w:val="00490743"/>
    <w:rsid w:val="004A045F"/>
    <w:rsid w:val="004D3CF7"/>
    <w:rsid w:val="004F6CAE"/>
    <w:rsid w:val="005009F0"/>
    <w:rsid w:val="00501DFF"/>
    <w:rsid w:val="00512A36"/>
    <w:rsid w:val="005262F8"/>
    <w:rsid w:val="005332A9"/>
    <w:rsid w:val="00544218"/>
    <w:rsid w:val="00550158"/>
    <w:rsid w:val="00550E37"/>
    <w:rsid w:val="00563740"/>
    <w:rsid w:val="005838DF"/>
    <w:rsid w:val="005A1F1A"/>
    <w:rsid w:val="005A2397"/>
    <w:rsid w:val="005B7C2B"/>
    <w:rsid w:val="005D4F5E"/>
    <w:rsid w:val="005F4E2B"/>
    <w:rsid w:val="006050E6"/>
    <w:rsid w:val="00637D5C"/>
    <w:rsid w:val="00645E7F"/>
    <w:rsid w:val="00691DE3"/>
    <w:rsid w:val="006A12A3"/>
    <w:rsid w:val="006C7388"/>
    <w:rsid w:val="006D34C0"/>
    <w:rsid w:val="006D351E"/>
    <w:rsid w:val="006E41DA"/>
    <w:rsid w:val="00724B9A"/>
    <w:rsid w:val="00733371"/>
    <w:rsid w:val="007628F4"/>
    <w:rsid w:val="007A1BB1"/>
    <w:rsid w:val="007B7294"/>
    <w:rsid w:val="007C3E68"/>
    <w:rsid w:val="007D674E"/>
    <w:rsid w:val="007F4D6F"/>
    <w:rsid w:val="0082598D"/>
    <w:rsid w:val="00844F96"/>
    <w:rsid w:val="00873A92"/>
    <w:rsid w:val="008B453B"/>
    <w:rsid w:val="008C5578"/>
    <w:rsid w:val="008D50DE"/>
    <w:rsid w:val="008E1A04"/>
    <w:rsid w:val="008F05C4"/>
    <w:rsid w:val="009003E8"/>
    <w:rsid w:val="00913907"/>
    <w:rsid w:val="00920D5C"/>
    <w:rsid w:val="00931481"/>
    <w:rsid w:val="00937E87"/>
    <w:rsid w:val="009623CF"/>
    <w:rsid w:val="00965AE7"/>
    <w:rsid w:val="00970176"/>
    <w:rsid w:val="00980DDB"/>
    <w:rsid w:val="00992DF6"/>
    <w:rsid w:val="009B62E9"/>
    <w:rsid w:val="009C0431"/>
    <w:rsid w:val="009C18BC"/>
    <w:rsid w:val="009E1B25"/>
    <w:rsid w:val="009F24CC"/>
    <w:rsid w:val="009F2EE7"/>
    <w:rsid w:val="00A32214"/>
    <w:rsid w:val="00A475F1"/>
    <w:rsid w:val="00A51098"/>
    <w:rsid w:val="00A71C30"/>
    <w:rsid w:val="00A85087"/>
    <w:rsid w:val="00A93BAD"/>
    <w:rsid w:val="00AD11D1"/>
    <w:rsid w:val="00AD20F3"/>
    <w:rsid w:val="00AD33FA"/>
    <w:rsid w:val="00AD7C08"/>
    <w:rsid w:val="00AE62AC"/>
    <w:rsid w:val="00AF3C5B"/>
    <w:rsid w:val="00AF452C"/>
    <w:rsid w:val="00B064C9"/>
    <w:rsid w:val="00B2268F"/>
    <w:rsid w:val="00B43476"/>
    <w:rsid w:val="00B43664"/>
    <w:rsid w:val="00B80CA9"/>
    <w:rsid w:val="00BB4A38"/>
    <w:rsid w:val="00BC4209"/>
    <w:rsid w:val="00BC52B5"/>
    <w:rsid w:val="00BE4A31"/>
    <w:rsid w:val="00BF16B7"/>
    <w:rsid w:val="00BF1795"/>
    <w:rsid w:val="00BF3D16"/>
    <w:rsid w:val="00C05107"/>
    <w:rsid w:val="00C05191"/>
    <w:rsid w:val="00C1367D"/>
    <w:rsid w:val="00C27320"/>
    <w:rsid w:val="00C35348"/>
    <w:rsid w:val="00C731D4"/>
    <w:rsid w:val="00C8064B"/>
    <w:rsid w:val="00C9521E"/>
    <w:rsid w:val="00CB26B4"/>
    <w:rsid w:val="00CC09E9"/>
    <w:rsid w:val="00CC1778"/>
    <w:rsid w:val="00CC4BB7"/>
    <w:rsid w:val="00CE73F8"/>
    <w:rsid w:val="00CE7539"/>
    <w:rsid w:val="00CF0C19"/>
    <w:rsid w:val="00D14AF6"/>
    <w:rsid w:val="00D1771F"/>
    <w:rsid w:val="00D17A70"/>
    <w:rsid w:val="00D36BE5"/>
    <w:rsid w:val="00D4134C"/>
    <w:rsid w:val="00D944E8"/>
    <w:rsid w:val="00DA5720"/>
    <w:rsid w:val="00DB338C"/>
    <w:rsid w:val="00DC5E63"/>
    <w:rsid w:val="00DF70E7"/>
    <w:rsid w:val="00E15A8F"/>
    <w:rsid w:val="00E443C5"/>
    <w:rsid w:val="00E56D88"/>
    <w:rsid w:val="00E64285"/>
    <w:rsid w:val="00E77309"/>
    <w:rsid w:val="00E80F16"/>
    <w:rsid w:val="00E87656"/>
    <w:rsid w:val="00E94F5B"/>
    <w:rsid w:val="00EF0E9F"/>
    <w:rsid w:val="00EF3D70"/>
    <w:rsid w:val="00EF525D"/>
    <w:rsid w:val="00F001C4"/>
    <w:rsid w:val="00F03780"/>
    <w:rsid w:val="00F05428"/>
    <w:rsid w:val="00F41523"/>
    <w:rsid w:val="00F60888"/>
    <w:rsid w:val="00F64BFE"/>
    <w:rsid w:val="00FA4072"/>
    <w:rsid w:val="00FA77DB"/>
    <w:rsid w:val="00FF4D0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EC0DC-61C1-4B21-9554-DA1DAA0F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218"/>
    <w:rPr>
      <w:sz w:val="24"/>
      <w:szCs w:val="24"/>
    </w:rPr>
  </w:style>
  <w:style w:type="paragraph" w:styleId="berschrift1">
    <w:name w:val="heading 1"/>
    <w:basedOn w:val="Standard"/>
    <w:next w:val="Standard"/>
    <w:link w:val="berschrift1Zchn"/>
    <w:qFormat/>
    <w:pPr>
      <w:keepNext/>
      <w:autoSpaceDE w:val="0"/>
      <w:autoSpaceDN w:val="0"/>
      <w:adjustRightInd w:val="0"/>
      <w:jc w:val="center"/>
      <w:outlineLvl w:val="0"/>
    </w:pPr>
    <w:rPr>
      <w:rFonts w:ascii="Verdana" w:hAnsi="Verdana" w:cs="Arial"/>
      <w:b/>
      <w:bCs/>
    </w:rPr>
  </w:style>
  <w:style w:type="paragraph" w:styleId="berschrift2">
    <w:name w:val="heading 2"/>
    <w:basedOn w:val="Standard"/>
    <w:next w:val="Standard"/>
    <w:qFormat/>
    <w:pPr>
      <w:keepNext/>
      <w:autoSpaceDE w:val="0"/>
      <w:autoSpaceDN w:val="0"/>
      <w:adjustRightInd w:val="0"/>
      <w:jc w:val="center"/>
      <w:outlineLvl w:val="1"/>
    </w:pPr>
    <w:rPr>
      <w:rFonts w:ascii="Verdana" w:hAnsi="Verdana" w:cs="Arial"/>
      <w:b/>
      <w:bCs/>
      <w:sz w:val="22"/>
      <w:szCs w:val="3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autoSpaceDE w:val="0"/>
      <w:autoSpaceDN w:val="0"/>
      <w:adjustRightInd w:val="0"/>
      <w:ind w:left="708" w:hanging="708"/>
      <w:jc w:val="both"/>
    </w:pPr>
    <w:rPr>
      <w:rFonts w:ascii="Verdana" w:hAnsi="Verdana" w:cs="Arial"/>
      <w:sz w:val="22"/>
    </w:r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
    <w:name w:val="Body Text"/>
    <w:basedOn w:val="Standard"/>
    <w:semiHidden/>
    <w:pPr>
      <w:autoSpaceDE w:val="0"/>
      <w:autoSpaceDN w:val="0"/>
      <w:adjustRightInd w:val="0"/>
      <w:jc w:val="both"/>
    </w:pPr>
    <w:rPr>
      <w:rFonts w:ascii="Arial" w:hAnsi="Arial" w:cs="Arial"/>
      <w:b/>
      <w:bCs/>
    </w:rPr>
  </w:style>
  <w:style w:type="paragraph" w:styleId="Textkrper-Einzug3">
    <w:name w:val="Body Text Indent 3"/>
    <w:basedOn w:val="Standard"/>
    <w:link w:val="Textkrper-Einzug3Zchn"/>
    <w:uiPriority w:val="99"/>
    <w:semiHidden/>
    <w:unhideWhenUsed/>
    <w:rsid w:val="003A5E19"/>
    <w:pPr>
      <w:spacing w:after="120"/>
      <w:ind w:left="283"/>
    </w:pPr>
    <w:rPr>
      <w:sz w:val="16"/>
      <w:szCs w:val="16"/>
    </w:rPr>
  </w:style>
  <w:style w:type="character" w:customStyle="1" w:styleId="Textkrper-Einzug3Zchn">
    <w:name w:val="Textkörper-Einzug 3 Zchn"/>
    <w:link w:val="Textkrper-Einzug3"/>
    <w:uiPriority w:val="99"/>
    <w:semiHidden/>
    <w:rsid w:val="003A5E19"/>
    <w:rPr>
      <w:sz w:val="16"/>
      <w:szCs w:val="16"/>
      <w:lang w:bidi="ar-SA"/>
    </w:rPr>
  </w:style>
  <w:style w:type="character" w:customStyle="1" w:styleId="berschrift1Zchn">
    <w:name w:val="Überschrift 1 Zchn"/>
    <w:link w:val="berschrift1"/>
    <w:rsid w:val="003A5E19"/>
    <w:rPr>
      <w:rFonts w:ascii="Verdana" w:hAnsi="Verdana" w:cs="Arial"/>
      <w:b/>
      <w:bCs/>
      <w:sz w:val="24"/>
      <w:szCs w:val="24"/>
      <w:lang w:bidi="ar-SA"/>
    </w:rPr>
  </w:style>
  <w:style w:type="paragraph" w:styleId="Textkrper-Einzug2">
    <w:name w:val="Body Text Indent 2"/>
    <w:basedOn w:val="Standard"/>
    <w:link w:val="Textkrper-Einzug2Zchn"/>
    <w:uiPriority w:val="99"/>
    <w:semiHidden/>
    <w:unhideWhenUsed/>
    <w:rsid w:val="003A5E19"/>
    <w:pPr>
      <w:spacing w:after="120" w:line="480" w:lineRule="auto"/>
      <w:ind w:left="283"/>
    </w:pPr>
  </w:style>
  <w:style w:type="character" w:customStyle="1" w:styleId="Textkrper-Einzug2Zchn">
    <w:name w:val="Textkörper-Einzug 2 Zchn"/>
    <w:link w:val="Textkrper-Einzug2"/>
    <w:uiPriority w:val="99"/>
    <w:semiHidden/>
    <w:rsid w:val="003A5E19"/>
    <w:rPr>
      <w:sz w:val="24"/>
      <w:szCs w:val="24"/>
      <w:lang w:bidi="ar-SA"/>
    </w:rPr>
  </w:style>
  <w:style w:type="paragraph" w:styleId="Sprechblasentext">
    <w:name w:val="Balloon Text"/>
    <w:basedOn w:val="Standard"/>
    <w:link w:val="SprechblasentextZchn"/>
    <w:uiPriority w:val="99"/>
    <w:semiHidden/>
    <w:unhideWhenUsed/>
    <w:rsid w:val="003F2295"/>
    <w:rPr>
      <w:rFonts w:ascii="Tahoma" w:hAnsi="Tahoma" w:cs="Tahoma"/>
      <w:sz w:val="16"/>
      <w:szCs w:val="16"/>
    </w:rPr>
  </w:style>
  <w:style w:type="character" w:customStyle="1" w:styleId="SprechblasentextZchn">
    <w:name w:val="Sprechblasentext Zchn"/>
    <w:link w:val="Sprechblasentext"/>
    <w:uiPriority w:val="99"/>
    <w:semiHidden/>
    <w:rsid w:val="003F2295"/>
    <w:rPr>
      <w:rFonts w:ascii="Tahoma" w:hAnsi="Tahoma" w:cs="Tahoma"/>
      <w:sz w:val="16"/>
      <w:szCs w:val="16"/>
      <w:lang w:bidi="ar-SA"/>
    </w:rPr>
  </w:style>
  <w:style w:type="paragraph" w:customStyle="1" w:styleId="CM1">
    <w:name w:val="CM1"/>
    <w:basedOn w:val="Standard"/>
    <w:next w:val="Standard"/>
    <w:uiPriority w:val="99"/>
    <w:rsid w:val="00CE7539"/>
    <w:pPr>
      <w:autoSpaceDE w:val="0"/>
      <w:autoSpaceDN w:val="0"/>
      <w:adjustRightInd w:val="0"/>
    </w:pPr>
    <w:rPr>
      <w:rFonts w:ascii="EUAlbertina" w:hAnsi="EUAlbertina" w:cs="Angsana New"/>
      <w:lang w:bidi="th-TH"/>
    </w:rPr>
  </w:style>
  <w:style w:type="paragraph" w:customStyle="1" w:styleId="CM3">
    <w:name w:val="CM3"/>
    <w:basedOn w:val="Standard"/>
    <w:next w:val="Standard"/>
    <w:uiPriority w:val="99"/>
    <w:rsid w:val="00CE7539"/>
    <w:pPr>
      <w:autoSpaceDE w:val="0"/>
      <w:autoSpaceDN w:val="0"/>
      <w:adjustRightInd w:val="0"/>
    </w:pPr>
    <w:rPr>
      <w:rFonts w:ascii="EUAlbertina" w:hAnsi="EUAlbertina" w:cs="Angsana New"/>
      <w:lang w:bidi="th-TH"/>
    </w:rPr>
  </w:style>
  <w:style w:type="paragraph" w:customStyle="1" w:styleId="CM4">
    <w:name w:val="CM4"/>
    <w:basedOn w:val="Standard"/>
    <w:next w:val="Standard"/>
    <w:uiPriority w:val="99"/>
    <w:rsid w:val="00CE7539"/>
    <w:pPr>
      <w:autoSpaceDE w:val="0"/>
      <w:autoSpaceDN w:val="0"/>
      <w:adjustRightInd w:val="0"/>
    </w:pPr>
    <w:rPr>
      <w:rFonts w:ascii="EUAlbertina" w:hAnsi="EUAlbertina" w:cs="Angsana New"/>
      <w:lang w:bidi="th-TH"/>
    </w:rPr>
  </w:style>
  <w:style w:type="paragraph" w:customStyle="1" w:styleId="doc-ti">
    <w:name w:val="doc-ti"/>
    <w:basedOn w:val="Standard"/>
    <w:rsid w:val="00FA77DB"/>
    <w:pPr>
      <w:spacing w:before="100" w:beforeAutospacing="1" w:after="100" w:afterAutospacing="1"/>
    </w:pPr>
    <w:rPr>
      <w:lang w:bidi="th-TH"/>
    </w:rPr>
  </w:style>
  <w:style w:type="paragraph" w:customStyle="1" w:styleId="normal">
    <w:name w:val="normal"/>
    <w:basedOn w:val="Standard"/>
    <w:rsid w:val="00FA77DB"/>
    <w:pPr>
      <w:spacing w:before="100" w:beforeAutospacing="1" w:after="100" w:afterAutospacing="1"/>
    </w:pPr>
    <w:rPr>
      <w:lang w:bidi="th-TH"/>
    </w:rPr>
  </w:style>
  <w:style w:type="paragraph" w:customStyle="1" w:styleId="ti-grseq-1">
    <w:name w:val="ti-grseq-1"/>
    <w:basedOn w:val="Standard"/>
    <w:rsid w:val="00FA77DB"/>
    <w:pPr>
      <w:spacing w:before="100" w:beforeAutospacing="1" w:after="100" w:afterAutospacing="1"/>
    </w:pPr>
    <w:rPr>
      <w:lang w:bidi="th-TH"/>
    </w:rPr>
  </w:style>
  <w:style w:type="character" w:customStyle="1" w:styleId="bold">
    <w:name w:val="bold"/>
    <w:rsid w:val="00FA77DB"/>
  </w:style>
  <w:style w:type="paragraph" w:styleId="berarbeitung">
    <w:name w:val="Revision"/>
    <w:hidden/>
    <w:uiPriority w:val="99"/>
    <w:semiHidden/>
    <w:rsid w:val="00931481"/>
    <w:rPr>
      <w:sz w:val="24"/>
      <w:szCs w:val="24"/>
    </w:rPr>
  </w:style>
  <w:style w:type="character" w:styleId="Kommentarzeichen">
    <w:name w:val="annotation reference"/>
    <w:uiPriority w:val="99"/>
    <w:semiHidden/>
    <w:unhideWhenUsed/>
    <w:rsid w:val="00AF452C"/>
    <w:rPr>
      <w:sz w:val="16"/>
      <w:szCs w:val="16"/>
    </w:rPr>
  </w:style>
  <w:style w:type="paragraph" w:styleId="Kommentartext">
    <w:name w:val="annotation text"/>
    <w:basedOn w:val="Standard"/>
    <w:link w:val="KommentartextZchn"/>
    <w:uiPriority w:val="99"/>
    <w:semiHidden/>
    <w:unhideWhenUsed/>
    <w:rsid w:val="00AF452C"/>
    <w:rPr>
      <w:sz w:val="20"/>
      <w:szCs w:val="20"/>
    </w:rPr>
  </w:style>
  <w:style w:type="character" w:customStyle="1" w:styleId="KommentartextZchn">
    <w:name w:val="Kommentartext Zchn"/>
    <w:link w:val="Kommentartext"/>
    <w:uiPriority w:val="99"/>
    <w:semiHidden/>
    <w:rsid w:val="00AF452C"/>
    <w:rPr>
      <w:lang w:bidi="ar-SA"/>
    </w:rPr>
  </w:style>
  <w:style w:type="paragraph" w:styleId="Kommentarthema">
    <w:name w:val="annotation subject"/>
    <w:basedOn w:val="Kommentartext"/>
    <w:next w:val="Kommentartext"/>
    <w:link w:val="KommentarthemaZchn"/>
    <w:uiPriority w:val="99"/>
    <w:semiHidden/>
    <w:unhideWhenUsed/>
    <w:rsid w:val="00AF452C"/>
    <w:rPr>
      <w:b/>
      <w:bCs/>
    </w:rPr>
  </w:style>
  <w:style w:type="character" w:customStyle="1" w:styleId="KommentarthemaZchn">
    <w:name w:val="Kommentarthema Zchn"/>
    <w:link w:val="Kommentarthema"/>
    <w:uiPriority w:val="99"/>
    <w:semiHidden/>
    <w:rsid w:val="00AF452C"/>
    <w:rPr>
      <w:b/>
      <w:bCs/>
      <w:lang w:bidi="ar-SA"/>
    </w:rPr>
  </w:style>
  <w:style w:type="character" w:customStyle="1" w:styleId="FuzeileZchn">
    <w:name w:val="Fußzeile Zchn"/>
    <w:link w:val="Fuzeile"/>
    <w:rsid w:val="0021164F"/>
    <w:rPr>
      <w:sz w:val="24"/>
      <w:szCs w:val="24"/>
      <w:lang w:val="de-DE" w:eastAsia="de-DE"/>
    </w:rPr>
  </w:style>
  <w:style w:type="paragraph" w:customStyle="1" w:styleId="MacPacTrailer">
    <w:name w:val="MacPac Trailer"/>
    <w:rsid w:val="002E0032"/>
    <w:pPr>
      <w:widowControl w:val="0"/>
      <w:spacing w:line="200" w:lineRule="exact"/>
    </w:pPr>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337">
      <w:bodyDiv w:val="1"/>
      <w:marLeft w:val="0"/>
      <w:marRight w:val="0"/>
      <w:marTop w:val="0"/>
      <w:marBottom w:val="0"/>
      <w:divBdr>
        <w:top w:val="none" w:sz="0" w:space="0" w:color="auto"/>
        <w:left w:val="none" w:sz="0" w:space="0" w:color="auto"/>
        <w:bottom w:val="none" w:sz="0" w:space="0" w:color="auto"/>
        <w:right w:val="none" w:sz="0" w:space="0" w:color="auto"/>
      </w:divBdr>
    </w:div>
    <w:div w:id="457845097">
      <w:bodyDiv w:val="1"/>
      <w:marLeft w:val="0"/>
      <w:marRight w:val="0"/>
      <w:marTop w:val="0"/>
      <w:marBottom w:val="0"/>
      <w:divBdr>
        <w:top w:val="none" w:sz="0" w:space="0" w:color="auto"/>
        <w:left w:val="none" w:sz="0" w:space="0" w:color="auto"/>
        <w:bottom w:val="none" w:sz="0" w:space="0" w:color="auto"/>
        <w:right w:val="none" w:sz="0" w:space="0" w:color="auto"/>
      </w:divBdr>
    </w:div>
    <w:div w:id="609162118">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1216044910">
      <w:bodyDiv w:val="1"/>
      <w:marLeft w:val="0"/>
      <w:marRight w:val="0"/>
      <w:marTop w:val="0"/>
      <w:marBottom w:val="0"/>
      <w:divBdr>
        <w:top w:val="none" w:sz="0" w:space="0" w:color="auto"/>
        <w:left w:val="none" w:sz="0" w:space="0" w:color="auto"/>
        <w:bottom w:val="none" w:sz="0" w:space="0" w:color="auto"/>
        <w:right w:val="none" w:sz="0" w:space="0" w:color="auto"/>
      </w:divBdr>
    </w:div>
    <w:div w:id="1527714961">
      <w:bodyDiv w:val="1"/>
      <w:marLeft w:val="0"/>
      <w:marRight w:val="0"/>
      <w:marTop w:val="0"/>
      <w:marBottom w:val="0"/>
      <w:divBdr>
        <w:top w:val="none" w:sz="0" w:space="0" w:color="auto"/>
        <w:left w:val="none" w:sz="0" w:space="0" w:color="auto"/>
        <w:bottom w:val="none" w:sz="0" w:space="0" w:color="auto"/>
        <w:right w:val="none" w:sz="0" w:space="0" w:color="auto"/>
      </w:divBdr>
    </w:div>
    <w:div w:id="1702784675">
      <w:bodyDiv w:val="1"/>
      <w:marLeft w:val="0"/>
      <w:marRight w:val="0"/>
      <w:marTop w:val="0"/>
      <w:marBottom w:val="0"/>
      <w:divBdr>
        <w:top w:val="none" w:sz="0" w:space="0" w:color="auto"/>
        <w:left w:val="none" w:sz="0" w:space="0" w:color="auto"/>
        <w:bottom w:val="none" w:sz="0" w:space="0" w:color="auto"/>
        <w:right w:val="none" w:sz="0" w:space="0" w:color="auto"/>
      </w:divBdr>
    </w:div>
    <w:div w:id="1781297367">
      <w:bodyDiv w:val="1"/>
      <w:marLeft w:val="0"/>
      <w:marRight w:val="0"/>
      <w:marTop w:val="0"/>
      <w:marBottom w:val="0"/>
      <w:divBdr>
        <w:top w:val="none" w:sz="0" w:space="0" w:color="auto"/>
        <w:left w:val="none" w:sz="0" w:space="0" w:color="auto"/>
        <w:bottom w:val="none" w:sz="0" w:space="0" w:color="auto"/>
        <w:right w:val="none" w:sz="0" w:space="0" w:color="auto"/>
      </w:divBdr>
    </w:div>
    <w:div w:id="18663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BC53-4205-4BFA-9F13-044C2CEA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2167</Words>
  <Characters>13656</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Erfassung Ihrer Person in das Insiderverzeichnis -</vt:lpstr>
    </vt:vector>
  </TitlesOfParts>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Nebel, Monika</dc:creator>
  <cp:keywords/>
  <cp:lastModifiedBy>Wiss. Mitarbeiter</cp:lastModifiedBy>
  <cp:revision>2</cp:revision>
  <dcterms:created xsi:type="dcterms:W3CDTF">2016-08-09T09:06:00Z</dcterms:created>
  <dcterms:modified xsi:type="dcterms:W3CDTF">2016-08-09T09:06:00Z</dcterms:modified>
</cp:coreProperties>
</file>